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C" w:rsidRPr="000C413A" w:rsidRDefault="002410EC" w:rsidP="002410EC">
      <w:pPr>
        <w:jc w:val="center"/>
        <w:rPr>
          <w:sz w:val="28"/>
          <w:szCs w:val="28"/>
          <w:u w:val="single"/>
        </w:rPr>
      </w:pPr>
      <w:r w:rsidRPr="000C413A">
        <w:rPr>
          <w:sz w:val="28"/>
          <w:szCs w:val="28"/>
          <w:u w:val="single"/>
        </w:rPr>
        <w:t>Table of Actions</w:t>
      </w:r>
      <w:r w:rsidR="007A5B82">
        <w:rPr>
          <w:sz w:val="28"/>
          <w:szCs w:val="28"/>
          <w:u w:val="single"/>
        </w:rPr>
        <w:t xml:space="preserve"> – Week 3</w:t>
      </w:r>
    </w:p>
    <w:p w:rsidR="00DC3341" w:rsidRDefault="00DC3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76E0C" w:rsidTr="002D0BBC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D76E0C" w:rsidRDefault="00D76E0C" w:rsidP="002D0BBC">
            <w:r>
              <w:t xml:space="preserve">Matter 19 </w:t>
            </w:r>
          </w:p>
        </w:tc>
      </w:tr>
      <w:tr w:rsidR="00D76E0C" w:rsidTr="002D0BBC">
        <w:trPr>
          <w:tblHeader/>
        </w:trPr>
        <w:tc>
          <w:tcPr>
            <w:tcW w:w="7338" w:type="dxa"/>
            <w:shd w:val="clear" w:color="auto" w:fill="000000" w:themeFill="text1"/>
          </w:tcPr>
          <w:p w:rsidR="00D76E0C" w:rsidRDefault="00D76E0C" w:rsidP="002D0BBC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D76E0C" w:rsidRDefault="00D76E0C" w:rsidP="002D0BBC">
            <w:r>
              <w:t>Date on which Action Completed</w:t>
            </w:r>
          </w:p>
        </w:tc>
      </w:tr>
      <w:tr w:rsidR="00D76E0C" w:rsidTr="002D0BBC">
        <w:tc>
          <w:tcPr>
            <w:tcW w:w="7338" w:type="dxa"/>
          </w:tcPr>
          <w:p w:rsidR="00D76E0C" w:rsidRPr="009B1CE7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modification to SP11 and relevant supporting text to replace reference to the Water Framework Directive with the Water Environment (Water Framework Directive) Regulations 2017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Affinity Water’s Draft Drought Plan as an Examination Document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8B3415">
        <w:trPr>
          <w:cantSplit/>
        </w:trPr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make clear that Policy NE2 relates to as yet unknown green infrastructure and that the policy applies to new green infrastructure created during lifetime of the Plan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reconsider criterion (b) in Policy NE3 specifically in relation to reference to “enhance”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reconsider Policy NE2 and Policy NE4 to ensure that there is no overlap and/or gaps in provision specifically with regard to ‘publicly accessible’ open space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consult with Mr A. Burrows in respect of suggested wildlife corridor and to provide a note on this issue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FE7551">
              <w:rPr>
                <w:b/>
              </w:rPr>
              <w:t xml:space="preserve">NHDC to reconsider Policy NE5 in relation to its title, the reference to </w:t>
            </w:r>
            <w:r>
              <w:rPr>
                <w:b/>
              </w:rPr>
              <w:t>“</w:t>
            </w:r>
            <w:r w:rsidRPr="00FE7551">
              <w:rPr>
                <w:b/>
              </w:rPr>
              <w:t>relevant development proposals</w:t>
            </w:r>
            <w:r>
              <w:rPr>
                <w:b/>
              </w:rPr>
              <w:t>”</w:t>
            </w:r>
            <w:r w:rsidRPr="00FE7551">
              <w:rPr>
                <w:b/>
              </w:rPr>
              <w:t xml:space="preserve"> (to replace this with a threshold) and to ensure that e.g. criteria (b) and (c) are not limited in application to sites over the threshold </w:t>
            </w:r>
          </w:p>
          <w:p w:rsidR="00D76E0C" w:rsidRPr="00FE7551" w:rsidRDefault="00D76E0C" w:rsidP="00EF0C1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FE7551">
              <w:rPr>
                <w:b/>
              </w:rPr>
              <w:t>NHDC to delete reference to the 1000 sqm floorspace threshold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‘priority species and habitats’ proposed to be in Policy SP11 to clarify what falls within that category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Policy NE6 to make clear that different levels of protection will be afforded to sites depending on their status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make available previous consultation responses from the Biological Records Centre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refer to ancient hedgerows in Policy NE6 and supporting text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propose main modification to Policy NE12 to exclude support for solar PV development on best and most versatile agricultural land and wind </w:t>
            </w:r>
            <w:r>
              <w:rPr>
                <w:b/>
              </w:rPr>
              <w:lastRenderedPageBreak/>
              <w:t>energy development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NHDC to propose amendment to Policy NE8(a) to include reference to technical feasibility, viability and whether solution appropriate in context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information from Environment Agency to justify 8m buffer in Policy NE9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supporting text to Policy NE9 to clarify meaning of designated main river and ordinary watercourses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EF0C1E">
        <w:trPr>
          <w:cantSplit/>
        </w:trPr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NE10 and relevant supporting text to refer to Water Framework Regulations as oppose to Directive</w:t>
            </w:r>
          </w:p>
        </w:tc>
        <w:tc>
          <w:tcPr>
            <w:tcW w:w="1904" w:type="dxa"/>
          </w:tcPr>
          <w:p w:rsidR="00D76E0C" w:rsidRDefault="00D76E0C" w:rsidP="00D76E0C"/>
        </w:tc>
      </w:tr>
    </w:tbl>
    <w:p w:rsidR="00D76E0C" w:rsidRDefault="00D76E0C"/>
    <w:p w:rsidR="007A5B82" w:rsidRDefault="007A5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76E0C" w:rsidTr="002D0BBC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D76E0C" w:rsidRDefault="00D76E0C" w:rsidP="00D76E0C">
            <w:r>
              <w:t xml:space="preserve">Matter 20 </w:t>
            </w:r>
          </w:p>
        </w:tc>
      </w:tr>
      <w:tr w:rsidR="00D76E0C" w:rsidTr="002D0BBC">
        <w:trPr>
          <w:tblHeader/>
        </w:trPr>
        <w:tc>
          <w:tcPr>
            <w:tcW w:w="7338" w:type="dxa"/>
            <w:shd w:val="clear" w:color="auto" w:fill="000000" w:themeFill="text1"/>
          </w:tcPr>
          <w:p w:rsidR="00D76E0C" w:rsidRDefault="00D76E0C" w:rsidP="002D0BBC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D76E0C" w:rsidRDefault="00D76E0C" w:rsidP="002D0BBC">
            <w:r>
              <w:t>Date on which Action Completed</w:t>
            </w:r>
          </w:p>
        </w:tc>
      </w:tr>
      <w:tr w:rsidR="00D76E0C" w:rsidTr="002D0BBC">
        <w:tc>
          <w:tcPr>
            <w:tcW w:w="7338" w:type="dxa"/>
          </w:tcPr>
          <w:p w:rsidR="00D76E0C" w:rsidRPr="009B1CE7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original proposed amendment to Policy SP13 to read “…the more important…the greater the weight that will be given…”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remove “mitigation” from “…necessary mitigation measures…” in Policy HE1(iii)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design policy to ensure LGC design principles are adhered to. Design principles to be appended to Plan</w:t>
            </w:r>
          </w:p>
        </w:tc>
        <w:tc>
          <w:tcPr>
            <w:tcW w:w="1904" w:type="dxa"/>
          </w:tcPr>
          <w:p w:rsidR="00D76E0C" w:rsidRDefault="00D76E0C" w:rsidP="00D76E0C"/>
        </w:tc>
      </w:tr>
      <w:tr w:rsidR="00D76E0C" w:rsidTr="002D0BBC">
        <w:tc>
          <w:tcPr>
            <w:tcW w:w="7338" w:type="dxa"/>
          </w:tcPr>
          <w:p w:rsidR="00D76E0C" w:rsidRDefault="00D76E0C" w:rsidP="00EF0C1E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main modifications to Policy HE3 to remove reference to “public benefits”, set out what is meant by local heritage assets (i.e. non-designated) and to ensure that paragraph 135 NPPF is properly reflected</w:t>
            </w:r>
          </w:p>
        </w:tc>
        <w:tc>
          <w:tcPr>
            <w:tcW w:w="1904" w:type="dxa"/>
          </w:tcPr>
          <w:p w:rsidR="00D76E0C" w:rsidRDefault="00D76E0C" w:rsidP="00D76E0C"/>
        </w:tc>
      </w:tr>
    </w:tbl>
    <w:p w:rsidR="007A5B82" w:rsidRDefault="007A5B82"/>
    <w:p w:rsidR="007A5B82" w:rsidRDefault="007A5B82">
      <w:r>
        <w:br w:type="page"/>
      </w:r>
    </w:p>
    <w:p w:rsidR="00D76E0C" w:rsidRDefault="00D7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0C0BFE" w:rsidTr="00AF3CBC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0C0BFE" w:rsidRDefault="000C0BFE" w:rsidP="000C0BFE">
            <w:r>
              <w:t xml:space="preserve">Matter 15 </w:t>
            </w:r>
          </w:p>
        </w:tc>
      </w:tr>
      <w:tr w:rsidR="000C0BFE" w:rsidTr="00AF3CBC">
        <w:trPr>
          <w:tblHeader/>
        </w:trPr>
        <w:tc>
          <w:tcPr>
            <w:tcW w:w="7338" w:type="dxa"/>
            <w:shd w:val="clear" w:color="auto" w:fill="000000" w:themeFill="text1"/>
          </w:tcPr>
          <w:p w:rsidR="000C0BFE" w:rsidRDefault="000C0BFE" w:rsidP="00AF3CBC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0C0BFE" w:rsidRDefault="000C0BFE" w:rsidP="00AF3CBC">
            <w:r>
              <w:t>Date on which Action Completed</w:t>
            </w:r>
          </w:p>
        </w:tc>
      </w:tr>
      <w:tr w:rsidR="000C0BFE" w:rsidTr="00AF3CBC">
        <w:tc>
          <w:tcPr>
            <w:tcW w:w="7338" w:type="dxa"/>
          </w:tcPr>
          <w:p w:rsidR="000C0BFE" w:rsidRPr="009B1CE7" w:rsidRDefault="002E71E7" w:rsidP="00FB5204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r</w:t>
            </w:r>
            <w:r w:rsidR="00C11471">
              <w:rPr>
                <w:b/>
              </w:rPr>
              <w:t>eplace reference at paragraph 4</w:t>
            </w:r>
            <w:r w:rsidR="00FB5204">
              <w:rPr>
                <w:b/>
              </w:rPr>
              <w:t xml:space="preserve">.56 of the explanatory text to </w:t>
            </w:r>
            <w:r w:rsidR="00C11471">
              <w:rPr>
                <w:b/>
              </w:rPr>
              <w:t xml:space="preserve"> ‘national guidance’ with ‘national policy’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2E71E7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Policy SP5(d) to add reference to “…through the application of our detailed policies” or similar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665831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amend references to proposals map throughout the Plan to ‘policies map’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982AD0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CGB1(a) and (b) such that they are consistent with Policy SP2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982AD0" w:rsidTr="00AF3CBC">
        <w:tc>
          <w:tcPr>
            <w:tcW w:w="7338" w:type="dxa"/>
          </w:tcPr>
          <w:p w:rsidR="00982AD0" w:rsidRDefault="00982AD0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amend references to the description of the rural area beyond the GB such that it is not limited to rural areas to the east (see e.g. paragraph 6.1)</w:t>
            </w:r>
          </w:p>
        </w:tc>
        <w:tc>
          <w:tcPr>
            <w:tcW w:w="1904" w:type="dxa"/>
          </w:tcPr>
          <w:p w:rsidR="00982AD0" w:rsidRDefault="00982AD0" w:rsidP="00AF3CBC"/>
        </w:tc>
      </w:tr>
      <w:tr w:rsidR="00982AD0" w:rsidTr="00BC562C">
        <w:trPr>
          <w:cantSplit/>
        </w:trPr>
        <w:tc>
          <w:tcPr>
            <w:tcW w:w="7338" w:type="dxa"/>
          </w:tcPr>
          <w:p w:rsidR="00982AD0" w:rsidRDefault="00343192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CGB2 as follows:</w:t>
            </w:r>
          </w:p>
          <w:p w:rsidR="00343192" w:rsidRDefault="00343192" w:rsidP="003431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Remove bullet point relating to Category C settlements</w:t>
            </w:r>
          </w:p>
          <w:p w:rsidR="00343192" w:rsidRDefault="00343192" w:rsidP="003431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Add wording such as “Development permitted under SP2 will also need to meet the criteria set out above”.</w:t>
            </w:r>
          </w:p>
          <w:p w:rsidR="000742D3" w:rsidRDefault="00343192" w:rsidP="000742D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Add wording to make clear that exception sites in the GB need to meet the NPPF test of VSC</w:t>
            </w:r>
          </w:p>
          <w:p w:rsidR="000742D3" w:rsidRPr="000742D3" w:rsidRDefault="000742D3" w:rsidP="000742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generally reconsider Policy CGB2 in light of paragraph 89 NPPF and to consider whether the policy needs to be split to relate to GB and rural areas separately</w:t>
            </w:r>
          </w:p>
        </w:tc>
        <w:tc>
          <w:tcPr>
            <w:tcW w:w="1904" w:type="dxa"/>
          </w:tcPr>
          <w:p w:rsidR="00982AD0" w:rsidRDefault="00982AD0" w:rsidP="00AF3CBC"/>
        </w:tc>
      </w:tr>
      <w:tr w:rsidR="00730C31" w:rsidTr="00BC562C">
        <w:trPr>
          <w:cantSplit/>
        </w:trPr>
        <w:tc>
          <w:tcPr>
            <w:tcW w:w="7338" w:type="dxa"/>
          </w:tcPr>
          <w:p w:rsidR="00730C31" w:rsidRDefault="00730C31" w:rsidP="004936A7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consider amendment to Policy CGB3 to include provision for new homes to support rural businesses on a temporary basis</w:t>
            </w:r>
            <w:r w:rsidR="009E10E1">
              <w:rPr>
                <w:b/>
              </w:rPr>
              <w:t xml:space="preserve"> and to make clear </w:t>
            </w:r>
            <w:r w:rsidR="00806FFF">
              <w:rPr>
                <w:b/>
              </w:rPr>
              <w:t xml:space="preserve">where policy applies and in what circumstances </w:t>
            </w:r>
          </w:p>
        </w:tc>
        <w:tc>
          <w:tcPr>
            <w:tcW w:w="1904" w:type="dxa"/>
          </w:tcPr>
          <w:p w:rsidR="00730C31" w:rsidRDefault="00730C31" w:rsidP="00AF3CBC"/>
        </w:tc>
      </w:tr>
      <w:tr w:rsidR="002030B1" w:rsidTr="00BC562C">
        <w:trPr>
          <w:cantSplit/>
        </w:trPr>
        <w:tc>
          <w:tcPr>
            <w:tcW w:w="7338" w:type="dxa"/>
          </w:tcPr>
          <w:p w:rsidR="002030B1" w:rsidRDefault="002030B1" w:rsidP="00FB5204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consider recasting Policy CGB4 to separate out conversions and extensions a</w:t>
            </w:r>
            <w:r w:rsidR="00FB5204">
              <w:rPr>
                <w:b/>
              </w:rPr>
              <w:t>s well as</w:t>
            </w:r>
            <w:r>
              <w:rPr>
                <w:b/>
              </w:rPr>
              <w:t xml:space="preserve"> GB and rural area beyond the GB</w:t>
            </w:r>
          </w:p>
        </w:tc>
        <w:tc>
          <w:tcPr>
            <w:tcW w:w="1904" w:type="dxa"/>
          </w:tcPr>
          <w:p w:rsidR="002030B1" w:rsidRDefault="002030B1" w:rsidP="00AF3CBC"/>
        </w:tc>
      </w:tr>
      <w:tr w:rsidR="005264D9" w:rsidTr="00BC562C">
        <w:trPr>
          <w:cantSplit/>
        </w:trPr>
        <w:tc>
          <w:tcPr>
            <w:tcW w:w="7338" w:type="dxa"/>
          </w:tcPr>
          <w:p w:rsidR="005264D9" w:rsidRDefault="005264D9" w:rsidP="004936A7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amend policies map in respect of urban open land</w:t>
            </w:r>
          </w:p>
        </w:tc>
        <w:tc>
          <w:tcPr>
            <w:tcW w:w="1904" w:type="dxa"/>
          </w:tcPr>
          <w:p w:rsidR="005264D9" w:rsidRDefault="005264D9" w:rsidP="00AF3CBC"/>
        </w:tc>
      </w:tr>
    </w:tbl>
    <w:p w:rsidR="007A5B82" w:rsidRDefault="007A5B82"/>
    <w:p w:rsidR="007A5B82" w:rsidRDefault="007A5B82">
      <w:r>
        <w:br w:type="page"/>
      </w:r>
    </w:p>
    <w:p w:rsidR="000C0BFE" w:rsidRDefault="000C0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0C0BFE" w:rsidTr="00AF3CBC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0C0BFE" w:rsidRDefault="000C0BFE" w:rsidP="00AF3CBC">
            <w:r>
              <w:t xml:space="preserve">Matter 17 </w:t>
            </w:r>
          </w:p>
        </w:tc>
      </w:tr>
      <w:tr w:rsidR="000C0BFE" w:rsidTr="00AF3CBC">
        <w:trPr>
          <w:tblHeader/>
        </w:trPr>
        <w:tc>
          <w:tcPr>
            <w:tcW w:w="7338" w:type="dxa"/>
            <w:shd w:val="clear" w:color="auto" w:fill="000000" w:themeFill="text1"/>
          </w:tcPr>
          <w:p w:rsidR="000C0BFE" w:rsidRDefault="000C0BFE" w:rsidP="00AF3CBC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0C0BFE" w:rsidRDefault="000C0BFE" w:rsidP="00AF3CBC">
            <w:r>
              <w:t>Date on which Action Completed</w:t>
            </w:r>
          </w:p>
        </w:tc>
      </w:tr>
      <w:tr w:rsidR="000C0BFE" w:rsidTr="00AF3CBC">
        <w:tc>
          <w:tcPr>
            <w:tcW w:w="7338" w:type="dxa"/>
          </w:tcPr>
          <w:p w:rsidR="000C0BFE" w:rsidRPr="009B1CE7" w:rsidRDefault="00656FEA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amend Policy SP9(c) to make it clear that regard will be had to the Design SPD rather than elevating the SPD to development plan status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656FEA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amend SP9 and/or D1 to include more specific reference to the water efficiency standard sought by the Council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656FEA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list of policies that give rise to viability issues and whether or not those policies have been taken into account by the viability appraisals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0C0BFE" w:rsidTr="00AF3CBC">
        <w:tc>
          <w:tcPr>
            <w:tcW w:w="7338" w:type="dxa"/>
          </w:tcPr>
          <w:p w:rsidR="000C0BFE" w:rsidRDefault="00EF5977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note in relation to safeguarded areas relating to aerodromes, specifically:</w:t>
            </w:r>
          </w:p>
          <w:p w:rsidR="00EF5977" w:rsidRDefault="00EF5977" w:rsidP="00EF597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What are the statutory requirements with which NHDC must comply in respect of Luton airport?</w:t>
            </w:r>
          </w:p>
          <w:p w:rsidR="00EF5977" w:rsidRDefault="00EF5977" w:rsidP="00EF597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Has NHDC complied with those requirements?</w:t>
            </w:r>
          </w:p>
          <w:p w:rsidR="00EF5977" w:rsidRPr="00EF5977" w:rsidRDefault="00EF5977" w:rsidP="00EF597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What is the position in relation to SuDs in relation to safeguarded areas?</w:t>
            </w:r>
          </w:p>
        </w:tc>
        <w:tc>
          <w:tcPr>
            <w:tcW w:w="1904" w:type="dxa"/>
          </w:tcPr>
          <w:p w:rsidR="000C0BFE" w:rsidRDefault="000C0BFE" w:rsidP="00AF3CBC"/>
        </w:tc>
      </w:tr>
      <w:tr w:rsidR="004E6D98" w:rsidTr="00AF3CBC">
        <w:tc>
          <w:tcPr>
            <w:tcW w:w="7338" w:type="dxa"/>
          </w:tcPr>
          <w:p w:rsidR="004E6D98" w:rsidRDefault="004E6D98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note setting outs it justification for the application of optional house size standards</w:t>
            </w:r>
          </w:p>
        </w:tc>
        <w:tc>
          <w:tcPr>
            <w:tcW w:w="1904" w:type="dxa"/>
          </w:tcPr>
          <w:p w:rsidR="004E6D98" w:rsidRDefault="004E6D98" w:rsidP="00AF3CBC"/>
        </w:tc>
      </w:tr>
      <w:tr w:rsidR="005D5911" w:rsidTr="00AF3CBC">
        <w:tc>
          <w:tcPr>
            <w:tcW w:w="7338" w:type="dxa"/>
          </w:tcPr>
          <w:p w:rsidR="005D5911" w:rsidRDefault="005D5911" w:rsidP="00AF3CB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D2 as main mod</w:t>
            </w:r>
            <w:r w:rsidR="00FB5204">
              <w:rPr>
                <w:b/>
              </w:rPr>
              <w:t>ification</w:t>
            </w:r>
            <w:r>
              <w:rPr>
                <w:b/>
              </w:rPr>
              <w:t xml:space="preserve"> as follows:</w:t>
            </w:r>
          </w:p>
          <w:p w:rsidR="005D5911" w:rsidRDefault="005D5911" w:rsidP="005D591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Delete criterion (b)</w:t>
            </w:r>
          </w:p>
          <w:p w:rsidR="005D5911" w:rsidRPr="005D5911" w:rsidRDefault="005D5911" w:rsidP="005D591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Add reference to ‘roof type’ under criterion (a)</w:t>
            </w:r>
          </w:p>
          <w:p w:rsidR="005D5911" w:rsidRDefault="005D5911" w:rsidP="005D591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Reconsider criterion (c) to improve punctuation, explain what is meant by the ‘direction the house faces’ and the ‘levels’ of adjoining properties</w:t>
            </w:r>
          </w:p>
          <w:p w:rsidR="00B001BA" w:rsidRDefault="00B001BA" w:rsidP="005D591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Delete criterion (d) and instead include reference to spacing between buildings in general catch all regarding the character of the streetscene (as to which see below)</w:t>
            </w:r>
          </w:p>
          <w:p w:rsidR="001F1E4C" w:rsidRDefault="001F1E4C" w:rsidP="005D591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Amend </w:t>
            </w:r>
            <w:r w:rsidR="00680D7E">
              <w:rPr>
                <w:b/>
              </w:rPr>
              <w:t>policy to refer to character and appearance at (d), (e) and (f)</w:t>
            </w:r>
          </w:p>
          <w:p w:rsidR="00835810" w:rsidRDefault="00835810" w:rsidP="005D591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Make clear at end of policy that it does not matter whether it is extension etc, it must be in keeping with the character of the streetscene as a catch all</w:t>
            </w:r>
          </w:p>
          <w:p w:rsidR="00903390" w:rsidRPr="005D5911" w:rsidRDefault="00903390" w:rsidP="0064768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Amend criterion (e) to </w:t>
            </w:r>
            <w:r w:rsidR="00680D7E">
              <w:rPr>
                <w:b/>
              </w:rPr>
              <w:t>the “…proposal does not harm the character…”</w:t>
            </w:r>
          </w:p>
        </w:tc>
        <w:tc>
          <w:tcPr>
            <w:tcW w:w="1904" w:type="dxa"/>
          </w:tcPr>
          <w:p w:rsidR="005D5911" w:rsidRDefault="005D5911" w:rsidP="00AF3CBC"/>
        </w:tc>
      </w:tr>
      <w:tr w:rsidR="00FA6C94" w:rsidTr="00AF3CBC">
        <w:tc>
          <w:tcPr>
            <w:tcW w:w="7338" w:type="dxa"/>
          </w:tcPr>
          <w:p w:rsidR="00FA6C94" w:rsidRDefault="006A299C" w:rsidP="00E032E8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prepare air quality note including information relating to monitoring data for first week of January prior to reserve air quality session</w:t>
            </w:r>
          </w:p>
        </w:tc>
        <w:tc>
          <w:tcPr>
            <w:tcW w:w="1904" w:type="dxa"/>
          </w:tcPr>
          <w:p w:rsidR="00FA6C94" w:rsidRDefault="00FA6C94" w:rsidP="00AF3CBC"/>
        </w:tc>
      </w:tr>
      <w:tr w:rsidR="00E87081" w:rsidTr="00AF3CBC">
        <w:tc>
          <w:tcPr>
            <w:tcW w:w="7338" w:type="dxa"/>
          </w:tcPr>
          <w:p w:rsidR="00E87081" w:rsidRDefault="00E87081" w:rsidP="00E032E8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main modification to Policy D4 to include sentence referring to the fact that a proposal for development that would give rise to an adverse impact in terms of air quality may attract refusal</w:t>
            </w:r>
          </w:p>
        </w:tc>
        <w:tc>
          <w:tcPr>
            <w:tcW w:w="1904" w:type="dxa"/>
          </w:tcPr>
          <w:p w:rsidR="00E87081" w:rsidRDefault="00E87081" w:rsidP="00AF3CBC"/>
        </w:tc>
      </w:tr>
    </w:tbl>
    <w:p w:rsidR="000C0BFE" w:rsidRDefault="000C0BFE"/>
    <w:p w:rsidR="007A5B82" w:rsidRDefault="007A5B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A64EAE" w:rsidTr="00694610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A64EAE" w:rsidRDefault="00A64EAE" w:rsidP="00A64EAE">
            <w:bookmarkStart w:id="0" w:name="_GoBack"/>
            <w:bookmarkEnd w:id="0"/>
            <w:r>
              <w:lastRenderedPageBreak/>
              <w:t xml:space="preserve">Matter 16 </w:t>
            </w:r>
          </w:p>
        </w:tc>
      </w:tr>
      <w:tr w:rsidR="00A64EAE" w:rsidTr="00694610">
        <w:trPr>
          <w:tblHeader/>
        </w:trPr>
        <w:tc>
          <w:tcPr>
            <w:tcW w:w="7338" w:type="dxa"/>
            <w:shd w:val="clear" w:color="auto" w:fill="000000" w:themeFill="text1"/>
          </w:tcPr>
          <w:p w:rsidR="00A64EAE" w:rsidRDefault="00A64EAE" w:rsidP="00694610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A64EAE" w:rsidRDefault="00A64EAE" w:rsidP="00694610">
            <w:r>
              <w:t>Date on which Action Completed</w:t>
            </w:r>
          </w:p>
        </w:tc>
      </w:tr>
      <w:tr w:rsidR="00A64EAE" w:rsidTr="00694610">
        <w:tc>
          <w:tcPr>
            <w:tcW w:w="7338" w:type="dxa"/>
          </w:tcPr>
          <w:p w:rsidR="00A64EAE" w:rsidRDefault="00A64EAE" w:rsidP="00694610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SP6 as follows:</w:t>
            </w:r>
          </w:p>
          <w:p w:rsidR="00A64EAE" w:rsidRDefault="0060005A" w:rsidP="00A64EA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Reconsider criterion (a) specifically in relation to the word ‘comply’ and whether the criterion ought to refer to the Transport Strategy and the Stevenage Mobility Strategy</w:t>
            </w:r>
          </w:p>
          <w:p w:rsidR="0060005A" w:rsidRDefault="0060005A" w:rsidP="00A64EA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Amend criterion (c) to include reference to neighbouring authorities</w:t>
            </w:r>
          </w:p>
          <w:p w:rsidR="0060005A" w:rsidRDefault="0060005A" w:rsidP="00AC6C0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Amend criterion (d) to refer to seeking the earliest reasonable opportunity to implement sustainable travel infrastructure</w:t>
            </w:r>
            <w:r w:rsidR="00AC6C03">
              <w:rPr>
                <w:b/>
              </w:rPr>
              <w:t xml:space="preserve"> and to consider whether it is appropriate to apply criterion (d) to all sites rather than </w:t>
            </w:r>
            <w:r w:rsidR="006608C7">
              <w:rPr>
                <w:b/>
              </w:rPr>
              <w:t xml:space="preserve">just </w:t>
            </w:r>
            <w:r w:rsidR="00AC6C03">
              <w:rPr>
                <w:b/>
              </w:rPr>
              <w:t>strategic housing sites</w:t>
            </w:r>
          </w:p>
          <w:p w:rsidR="00AC6C03" w:rsidRPr="00A64EAE" w:rsidRDefault="00AC6C03" w:rsidP="00AC6C0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Reconsider criterion (e) in respect of parking standards</w:t>
            </w:r>
          </w:p>
        </w:tc>
        <w:tc>
          <w:tcPr>
            <w:tcW w:w="1904" w:type="dxa"/>
          </w:tcPr>
          <w:p w:rsidR="00A64EAE" w:rsidRDefault="00A64EAE" w:rsidP="00694610"/>
        </w:tc>
      </w:tr>
      <w:tr w:rsidR="00A64EAE" w:rsidTr="00694610">
        <w:tc>
          <w:tcPr>
            <w:tcW w:w="7338" w:type="dxa"/>
          </w:tcPr>
          <w:p w:rsidR="007C75EA" w:rsidRDefault="007C75EA" w:rsidP="00694610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SP7 as follows:</w:t>
            </w:r>
          </w:p>
          <w:p w:rsidR="007C75EA" w:rsidRDefault="00AC6C03" w:rsidP="007C75E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7C75EA">
              <w:rPr>
                <w:b/>
              </w:rPr>
              <w:t xml:space="preserve">amend </w:t>
            </w:r>
            <w:r w:rsidR="007C75EA" w:rsidRPr="007C75EA">
              <w:rPr>
                <w:b/>
              </w:rPr>
              <w:t xml:space="preserve">criterion </w:t>
            </w:r>
            <w:r w:rsidRPr="007C75EA">
              <w:rPr>
                <w:b/>
              </w:rPr>
              <w:t>(a)(i) bullet 4 to ‘mitigate adverse impacts where appropriate</w:t>
            </w:r>
            <w:r w:rsidR="006608C7">
              <w:rPr>
                <w:b/>
              </w:rPr>
              <w:t>’</w:t>
            </w:r>
            <w:r w:rsidRPr="007C75EA">
              <w:rPr>
                <w:b/>
              </w:rPr>
              <w:t xml:space="preserve"> or similar</w:t>
            </w:r>
          </w:p>
          <w:p w:rsidR="007C75EA" w:rsidRDefault="007C75EA" w:rsidP="007C75E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remove reference in criterion (b) to ‘unless otherwise agreed with relevant providers’ and add ‘whichever is earliest’</w:t>
            </w:r>
          </w:p>
          <w:p w:rsidR="007C75EA" w:rsidRPr="007C75EA" w:rsidRDefault="007C75EA" w:rsidP="00E80C4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reconsider criterion (f) </w:t>
            </w:r>
            <w:r w:rsidR="00E80C4F">
              <w:rPr>
                <w:b/>
              </w:rPr>
              <w:t xml:space="preserve">and supporting text at para 4.83 </w:t>
            </w:r>
            <w:r>
              <w:rPr>
                <w:b/>
              </w:rPr>
              <w:t>as main modification</w:t>
            </w:r>
            <w:r w:rsidR="00E80C4F">
              <w:rPr>
                <w:b/>
              </w:rPr>
              <w:t xml:space="preserve"> </w:t>
            </w:r>
          </w:p>
        </w:tc>
        <w:tc>
          <w:tcPr>
            <w:tcW w:w="1904" w:type="dxa"/>
          </w:tcPr>
          <w:p w:rsidR="00A64EAE" w:rsidRDefault="00A64EAE" w:rsidP="00694610"/>
        </w:tc>
      </w:tr>
      <w:tr w:rsidR="00A64EAE" w:rsidTr="00694610">
        <w:tc>
          <w:tcPr>
            <w:tcW w:w="7338" w:type="dxa"/>
          </w:tcPr>
          <w:p w:rsidR="006608C7" w:rsidRDefault="00E80C4F" w:rsidP="00D20EF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6608C7">
              <w:rPr>
                <w:b/>
              </w:rPr>
              <w:t xml:space="preserve">NHDC to produce note in order to justify </w:t>
            </w:r>
            <w:r w:rsidR="006608C7">
              <w:rPr>
                <w:b/>
              </w:rPr>
              <w:t>proposed</w:t>
            </w:r>
            <w:r w:rsidRPr="006608C7">
              <w:rPr>
                <w:b/>
              </w:rPr>
              <w:t xml:space="preserve"> parking standards. Note to include reference to 2001 census data, the 2011 SPD, benchmarking, the correlation between car ownership and bedroom sizes, Great Ashby development as a case study</w:t>
            </w:r>
            <w:r w:rsidR="00D20EF9" w:rsidRPr="006608C7">
              <w:rPr>
                <w:b/>
              </w:rPr>
              <w:t xml:space="preserve"> and </w:t>
            </w:r>
            <w:r w:rsidR="006608C7">
              <w:rPr>
                <w:b/>
              </w:rPr>
              <w:t xml:space="preserve">the </w:t>
            </w:r>
            <w:r w:rsidR="00D20EF9" w:rsidRPr="006608C7">
              <w:rPr>
                <w:b/>
              </w:rPr>
              <w:t xml:space="preserve">link to paragraph 39 NPPF. </w:t>
            </w:r>
          </w:p>
          <w:p w:rsidR="006608C7" w:rsidRDefault="00D20EF9" w:rsidP="00D20EF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6608C7">
              <w:rPr>
                <w:b/>
              </w:rPr>
              <w:t xml:space="preserve">NHDC to consider cycle parking </w:t>
            </w:r>
            <w:r w:rsidR="006608C7">
              <w:rPr>
                <w:b/>
              </w:rPr>
              <w:t xml:space="preserve">in note </w:t>
            </w:r>
            <w:r w:rsidRPr="006608C7">
              <w:rPr>
                <w:b/>
              </w:rPr>
              <w:t xml:space="preserve">and whether different standards might be justified in different locations for both cycles and cars. </w:t>
            </w:r>
          </w:p>
          <w:p w:rsidR="00D20EF9" w:rsidRPr="006608C7" w:rsidRDefault="00D20EF9" w:rsidP="00D20EF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6608C7">
              <w:rPr>
                <w:b/>
              </w:rPr>
              <w:t>NHDC to amend paragraph 7.15 of the supporting text to Policy T2 to take account of fact that there are cycle standards proposed in the Plan itself</w:t>
            </w:r>
          </w:p>
        </w:tc>
        <w:tc>
          <w:tcPr>
            <w:tcW w:w="1904" w:type="dxa"/>
          </w:tcPr>
          <w:p w:rsidR="00A64EAE" w:rsidRDefault="00A64EAE" w:rsidP="00694610"/>
        </w:tc>
      </w:tr>
      <w:tr w:rsidR="00A64EAE" w:rsidTr="00694610">
        <w:tc>
          <w:tcPr>
            <w:tcW w:w="7338" w:type="dxa"/>
          </w:tcPr>
          <w:p w:rsidR="00A64EAE" w:rsidRDefault="00E80C4F" w:rsidP="006946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propose amendment </w:t>
            </w:r>
            <w:r w:rsidR="00D20EF9">
              <w:rPr>
                <w:b/>
              </w:rPr>
              <w:t>to Policy T1</w:t>
            </w:r>
            <w:r>
              <w:rPr>
                <w:b/>
              </w:rPr>
              <w:t xml:space="preserve"> to take account of highway impact in addition to safety</w:t>
            </w:r>
          </w:p>
        </w:tc>
        <w:tc>
          <w:tcPr>
            <w:tcW w:w="1904" w:type="dxa"/>
          </w:tcPr>
          <w:p w:rsidR="00A64EAE" w:rsidRDefault="00A64EAE" w:rsidP="00694610"/>
        </w:tc>
      </w:tr>
    </w:tbl>
    <w:p w:rsidR="00A64EAE" w:rsidRDefault="00A64EAE"/>
    <w:p w:rsidR="00A64EAE" w:rsidRDefault="00A64EAE"/>
    <w:sectPr w:rsidR="00A64E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1" w:rsidRDefault="00782B56">
      <w:pPr>
        <w:spacing w:after="0" w:line="240" w:lineRule="auto"/>
      </w:pPr>
      <w:r>
        <w:separator/>
      </w:r>
    </w:p>
  </w:endnote>
  <w:endnote w:type="continuationSeparator" w:id="0">
    <w:p w:rsidR="001D5681" w:rsidRDefault="007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C5D" w:rsidRDefault="00EA4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2C5D" w:rsidRDefault="00C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1" w:rsidRDefault="00782B56">
      <w:pPr>
        <w:spacing w:after="0" w:line="240" w:lineRule="auto"/>
      </w:pPr>
      <w:r>
        <w:separator/>
      </w:r>
    </w:p>
  </w:footnote>
  <w:footnote w:type="continuationSeparator" w:id="0">
    <w:p w:rsidR="001D5681" w:rsidRDefault="007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4D" w:rsidRDefault="00EA4C68">
    <w:pPr>
      <w:pStyle w:val="Header"/>
    </w:pPr>
    <w:r>
      <w:t>NORTH HERTFORDSHIRE DISTRICT COUNCIL LOCAL PLAN EXAMINATION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2FC"/>
    <w:multiLevelType w:val="hybridMultilevel"/>
    <w:tmpl w:val="B674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E87"/>
    <w:multiLevelType w:val="hybridMultilevel"/>
    <w:tmpl w:val="9DE4BFC0"/>
    <w:lvl w:ilvl="0" w:tplc="D84C8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15D"/>
    <w:multiLevelType w:val="hybridMultilevel"/>
    <w:tmpl w:val="407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8B2"/>
    <w:multiLevelType w:val="hybridMultilevel"/>
    <w:tmpl w:val="708E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24EB"/>
    <w:multiLevelType w:val="hybridMultilevel"/>
    <w:tmpl w:val="2B14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4E5D"/>
    <w:multiLevelType w:val="hybridMultilevel"/>
    <w:tmpl w:val="22C0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08AB"/>
    <w:multiLevelType w:val="hybridMultilevel"/>
    <w:tmpl w:val="018C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45D7"/>
    <w:multiLevelType w:val="hybridMultilevel"/>
    <w:tmpl w:val="08AE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E5AFD"/>
    <w:multiLevelType w:val="hybridMultilevel"/>
    <w:tmpl w:val="EE14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11F5F"/>
    <w:multiLevelType w:val="hybridMultilevel"/>
    <w:tmpl w:val="5556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3B"/>
    <w:multiLevelType w:val="hybridMultilevel"/>
    <w:tmpl w:val="F8F2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37A3"/>
    <w:multiLevelType w:val="hybridMultilevel"/>
    <w:tmpl w:val="5E9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00273"/>
    <w:multiLevelType w:val="hybridMultilevel"/>
    <w:tmpl w:val="4EC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F208D"/>
    <w:multiLevelType w:val="hybridMultilevel"/>
    <w:tmpl w:val="048A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C2287"/>
    <w:multiLevelType w:val="hybridMultilevel"/>
    <w:tmpl w:val="A714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51861"/>
    <w:multiLevelType w:val="hybridMultilevel"/>
    <w:tmpl w:val="E63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1788B"/>
    <w:multiLevelType w:val="hybridMultilevel"/>
    <w:tmpl w:val="647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5536F"/>
    <w:multiLevelType w:val="hybridMultilevel"/>
    <w:tmpl w:val="2F10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B2BED"/>
    <w:multiLevelType w:val="hybridMultilevel"/>
    <w:tmpl w:val="C57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115B"/>
    <w:multiLevelType w:val="hybridMultilevel"/>
    <w:tmpl w:val="21C0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32240"/>
    <w:multiLevelType w:val="hybridMultilevel"/>
    <w:tmpl w:val="6608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9620B"/>
    <w:multiLevelType w:val="hybridMultilevel"/>
    <w:tmpl w:val="320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8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C"/>
    <w:rsid w:val="000231A5"/>
    <w:rsid w:val="00032329"/>
    <w:rsid w:val="00061617"/>
    <w:rsid w:val="000742D3"/>
    <w:rsid w:val="00080387"/>
    <w:rsid w:val="00082B69"/>
    <w:rsid w:val="00091326"/>
    <w:rsid w:val="000C0BFE"/>
    <w:rsid w:val="000C5FD2"/>
    <w:rsid w:val="000F0C9D"/>
    <w:rsid w:val="000F1125"/>
    <w:rsid w:val="00117DF4"/>
    <w:rsid w:val="00120A9A"/>
    <w:rsid w:val="00143B03"/>
    <w:rsid w:val="00193CBA"/>
    <w:rsid w:val="001B6EBC"/>
    <w:rsid w:val="001C7020"/>
    <w:rsid w:val="001D5681"/>
    <w:rsid w:val="001F1E4C"/>
    <w:rsid w:val="00201524"/>
    <w:rsid w:val="002030B1"/>
    <w:rsid w:val="0022757E"/>
    <w:rsid w:val="00227915"/>
    <w:rsid w:val="002410EC"/>
    <w:rsid w:val="00274049"/>
    <w:rsid w:val="0027778E"/>
    <w:rsid w:val="002C5011"/>
    <w:rsid w:val="002C7392"/>
    <w:rsid w:val="002E291B"/>
    <w:rsid w:val="002E71E7"/>
    <w:rsid w:val="00302EA7"/>
    <w:rsid w:val="003223FA"/>
    <w:rsid w:val="00331397"/>
    <w:rsid w:val="00343192"/>
    <w:rsid w:val="00343E17"/>
    <w:rsid w:val="0039481B"/>
    <w:rsid w:val="003A7936"/>
    <w:rsid w:val="003B470C"/>
    <w:rsid w:val="003E340D"/>
    <w:rsid w:val="003F0931"/>
    <w:rsid w:val="004206E5"/>
    <w:rsid w:val="00425AF6"/>
    <w:rsid w:val="004452F9"/>
    <w:rsid w:val="004479A8"/>
    <w:rsid w:val="0045593D"/>
    <w:rsid w:val="00480730"/>
    <w:rsid w:val="004857AD"/>
    <w:rsid w:val="004936A7"/>
    <w:rsid w:val="004C3127"/>
    <w:rsid w:val="004E34F1"/>
    <w:rsid w:val="004E6D98"/>
    <w:rsid w:val="00517FE4"/>
    <w:rsid w:val="005264D9"/>
    <w:rsid w:val="005543A3"/>
    <w:rsid w:val="00556C4B"/>
    <w:rsid w:val="00570D6C"/>
    <w:rsid w:val="0059393B"/>
    <w:rsid w:val="00593B82"/>
    <w:rsid w:val="00595B7F"/>
    <w:rsid w:val="00597683"/>
    <w:rsid w:val="005A275D"/>
    <w:rsid w:val="005C3BD6"/>
    <w:rsid w:val="005C583A"/>
    <w:rsid w:val="005C6389"/>
    <w:rsid w:val="005D53D5"/>
    <w:rsid w:val="005D5911"/>
    <w:rsid w:val="005F0A18"/>
    <w:rsid w:val="0060005A"/>
    <w:rsid w:val="00604C44"/>
    <w:rsid w:val="00620014"/>
    <w:rsid w:val="00647684"/>
    <w:rsid w:val="006558D2"/>
    <w:rsid w:val="00656FEA"/>
    <w:rsid w:val="006604CC"/>
    <w:rsid w:val="006608C7"/>
    <w:rsid w:val="00665831"/>
    <w:rsid w:val="00680D7E"/>
    <w:rsid w:val="006A299C"/>
    <w:rsid w:val="00705FD0"/>
    <w:rsid w:val="007306ED"/>
    <w:rsid w:val="00730C31"/>
    <w:rsid w:val="0074211D"/>
    <w:rsid w:val="00747323"/>
    <w:rsid w:val="00782B56"/>
    <w:rsid w:val="007846D0"/>
    <w:rsid w:val="00795D70"/>
    <w:rsid w:val="007A0D85"/>
    <w:rsid w:val="007A5B82"/>
    <w:rsid w:val="007C75EA"/>
    <w:rsid w:val="007C7A9F"/>
    <w:rsid w:val="00806FFF"/>
    <w:rsid w:val="008131F8"/>
    <w:rsid w:val="008304BA"/>
    <w:rsid w:val="00835810"/>
    <w:rsid w:val="00892CC7"/>
    <w:rsid w:val="008B3415"/>
    <w:rsid w:val="008C066C"/>
    <w:rsid w:val="008D7CF1"/>
    <w:rsid w:val="00903390"/>
    <w:rsid w:val="00925114"/>
    <w:rsid w:val="00941633"/>
    <w:rsid w:val="0096247C"/>
    <w:rsid w:val="00982AD0"/>
    <w:rsid w:val="00995676"/>
    <w:rsid w:val="009D42A5"/>
    <w:rsid w:val="009E10E1"/>
    <w:rsid w:val="009E3291"/>
    <w:rsid w:val="00A23FA1"/>
    <w:rsid w:val="00A3173B"/>
    <w:rsid w:val="00A36B93"/>
    <w:rsid w:val="00A424CC"/>
    <w:rsid w:val="00A563A4"/>
    <w:rsid w:val="00A64EAE"/>
    <w:rsid w:val="00A950A8"/>
    <w:rsid w:val="00A95B74"/>
    <w:rsid w:val="00A97C81"/>
    <w:rsid w:val="00AA259D"/>
    <w:rsid w:val="00AC6C03"/>
    <w:rsid w:val="00AC78ED"/>
    <w:rsid w:val="00AE7D28"/>
    <w:rsid w:val="00B001BA"/>
    <w:rsid w:val="00B16EB2"/>
    <w:rsid w:val="00B30719"/>
    <w:rsid w:val="00B61F25"/>
    <w:rsid w:val="00B67E87"/>
    <w:rsid w:val="00BA04B6"/>
    <w:rsid w:val="00BA5DD2"/>
    <w:rsid w:val="00BC562C"/>
    <w:rsid w:val="00BD1012"/>
    <w:rsid w:val="00BD4EF5"/>
    <w:rsid w:val="00C11471"/>
    <w:rsid w:val="00C17424"/>
    <w:rsid w:val="00C17E0D"/>
    <w:rsid w:val="00C50B91"/>
    <w:rsid w:val="00C56EBD"/>
    <w:rsid w:val="00CA37BE"/>
    <w:rsid w:val="00CA5DB9"/>
    <w:rsid w:val="00CC5337"/>
    <w:rsid w:val="00CD31A4"/>
    <w:rsid w:val="00CE0AC9"/>
    <w:rsid w:val="00D164C6"/>
    <w:rsid w:val="00D17996"/>
    <w:rsid w:val="00D20EF9"/>
    <w:rsid w:val="00D34713"/>
    <w:rsid w:val="00D67017"/>
    <w:rsid w:val="00D76BD1"/>
    <w:rsid w:val="00D76E0C"/>
    <w:rsid w:val="00D851F3"/>
    <w:rsid w:val="00DA5F5F"/>
    <w:rsid w:val="00DB3274"/>
    <w:rsid w:val="00DC3341"/>
    <w:rsid w:val="00DC7FCD"/>
    <w:rsid w:val="00DD12BF"/>
    <w:rsid w:val="00DD69A2"/>
    <w:rsid w:val="00DE158B"/>
    <w:rsid w:val="00DE18D5"/>
    <w:rsid w:val="00DE49E9"/>
    <w:rsid w:val="00E032E8"/>
    <w:rsid w:val="00E27DCF"/>
    <w:rsid w:val="00E35C8A"/>
    <w:rsid w:val="00E80C4F"/>
    <w:rsid w:val="00E87081"/>
    <w:rsid w:val="00EA4C68"/>
    <w:rsid w:val="00EB63B2"/>
    <w:rsid w:val="00EC51CD"/>
    <w:rsid w:val="00ED3B53"/>
    <w:rsid w:val="00EF0571"/>
    <w:rsid w:val="00EF0C1E"/>
    <w:rsid w:val="00EF5977"/>
    <w:rsid w:val="00F04CB1"/>
    <w:rsid w:val="00F154B6"/>
    <w:rsid w:val="00F2753F"/>
    <w:rsid w:val="00F30FB4"/>
    <w:rsid w:val="00F34DAC"/>
    <w:rsid w:val="00F470AA"/>
    <w:rsid w:val="00FA4461"/>
    <w:rsid w:val="00FA6C94"/>
    <w:rsid w:val="00FB5204"/>
    <w:rsid w:val="00FD799F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Daly</dc:creator>
  <cp:lastModifiedBy>Clare Skeels</cp:lastModifiedBy>
  <cp:revision>2</cp:revision>
  <dcterms:created xsi:type="dcterms:W3CDTF">2017-12-13T11:48:00Z</dcterms:created>
  <dcterms:modified xsi:type="dcterms:W3CDTF">2017-12-13T11:48:00Z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-1782829707</vt:i4>
  </property>
</Properties>
</file>