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0EC" w:rsidRDefault="002410EC" w:rsidP="002410EC">
      <w:pPr>
        <w:jc w:val="center"/>
        <w:rPr>
          <w:sz w:val="28"/>
          <w:szCs w:val="28"/>
          <w:u w:val="single"/>
        </w:rPr>
      </w:pPr>
      <w:r w:rsidRPr="000C413A">
        <w:rPr>
          <w:sz w:val="28"/>
          <w:szCs w:val="28"/>
          <w:u w:val="single"/>
        </w:rPr>
        <w:t>Table of Actions</w:t>
      </w:r>
      <w:r w:rsidR="00497B37">
        <w:rPr>
          <w:sz w:val="28"/>
          <w:szCs w:val="28"/>
          <w:u w:val="single"/>
        </w:rPr>
        <w:t xml:space="preserve"> – Week 6</w:t>
      </w:r>
    </w:p>
    <w:p w:rsidR="00497B37" w:rsidRDefault="00497B37" w:rsidP="002410EC">
      <w:pPr>
        <w:jc w:val="center"/>
        <w:rPr>
          <w:sz w:val="28"/>
          <w:szCs w:val="28"/>
          <w:u w:val="single"/>
        </w:rPr>
      </w:pPr>
      <w:r>
        <w:rPr>
          <w:sz w:val="28"/>
          <w:szCs w:val="28"/>
          <w:u w:val="single"/>
        </w:rPr>
        <w:t>Matters 10 &amp; 11</w:t>
      </w:r>
    </w:p>
    <w:p w:rsidR="00AE2D95" w:rsidRDefault="00AE2D95" w:rsidP="00AE2D95">
      <w:r>
        <w:t xml:space="preserve">Local Plan Examination actions as requested by the Inspector are shown in the tables below.  </w:t>
      </w:r>
    </w:p>
    <w:p w:rsidR="00AE2D95" w:rsidRDefault="00AE2D95" w:rsidP="00AE2D95">
      <w:r>
        <w:t>Where appropriate there are links to the relevant Examination Documents.</w:t>
      </w:r>
    </w:p>
    <w:p w:rsidR="00AE2D95" w:rsidRDefault="00AE2D95" w:rsidP="00AE2D95">
      <w:r>
        <w:t xml:space="preserve">Actions which are shaded pale grey in the tables include proposed main modifications.  These will be added to the website in due course.  </w:t>
      </w:r>
    </w:p>
    <w:tbl>
      <w:tblPr>
        <w:tblStyle w:val="TableGrid"/>
        <w:tblW w:w="9606" w:type="dxa"/>
        <w:tblLook w:val="04A0" w:firstRow="1" w:lastRow="0" w:firstColumn="1" w:lastColumn="0" w:noHBand="0" w:noVBand="1"/>
      </w:tblPr>
      <w:tblGrid>
        <w:gridCol w:w="5920"/>
        <w:gridCol w:w="1931"/>
        <w:gridCol w:w="1755"/>
      </w:tblGrid>
      <w:tr w:rsidR="00497B37" w:rsidTr="001643E7">
        <w:trPr>
          <w:tblHeader/>
        </w:trPr>
        <w:tc>
          <w:tcPr>
            <w:tcW w:w="9606" w:type="dxa"/>
            <w:gridSpan w:val="3"/>
            <w:shd w:val="clear" w:color="auto" w:fill="BDD6EE" w:themeFill="accent1" w:themeFillTint="66"/>
          </w:tcPr>
          <w:p w:rsidR="00497B37" w:rsidRDefault="00497B37" w:rsidP="00ED67F7">
            <w:r>
              <w:t xml:space="preserve">Matter 10 – LETCHWORTH AND ROYSTON </w:t>
            </w:r>
          </w:p>
        </w:tc>
      </w:tr>
      <w:tr w:rsidR="00497B37" w:rsidTr="00497B37">
        <w:trPr>
          <w:tblHeader/>
        </w:trPr>
        <w:tc>
          <w:tcPr>
            <w:tcW w:w="5920" w:type="dxa"/>
            <w:shd w:val="clear" w:color="auto" w:fill="000000" w:themeFill="text1"/>
          </w:tcPr>
          <w:p w:rsidR="00497B37" w:rsidRPr="00AE2D95" w:rsidRDefault="00497B37" w:rsidP="00346B77">
            <w:pPr>
              <w:rPr>
                <w:b/>
              </w:rPr>
            </w:pPr>
            <w:r w:rsidRPr="00AE2D95">
              <w:rPr>
                <w:b/>
              </w:rPr>
              <w:t>Action</w:t>
            </w:r>
          </w:p>
        </w:tc>
        <w:tc>
          <w:tcPr>
            <w:tcW w:w="1931" w:type="dxa"/>
            <w:shd w:val="clear" w:color="auto" w:fill="000000" w:themeFill="text1"/>
          </w:tcPr>
          <w:p w:rsidR="00497B37" w:rsidRPr="00AE2D95" w:rsidRDefault="00497B37" w:rsidP="00346B77">
            <w:pPr>
              <w:rPr>
                <w:b/>
              </w:rPr>
            </w:pPr>
            <w:r w:rsidRPr="00AE2D95">
              <w:rPr>
                <w:b/>
              </w:rPr>
              <w:t>Date on which Action Completed</w:t>
            </w:r>
          </w:p>
        </w:tc>
        <w:tc>
          <w:tcPr>
            <w:tcW w:w="1755" w:type="dxa"/>
            <w:shd w:val="clear" w:color="auto" w:fill="000000" w:themeFill="text1"/>
          </w:tcPr>
          <w:p w:rsidR="00497B37" w:rsidRPr="00AE2D95" w:rsidRDefault="00497B37" w:rsidP="00497B37">
            <w:pPr>
              <w:rPr>
                <w:b/>
              </w:rPr>
            </w:pPr>
            <w:r w:rsidRPr="00AE2D95">
              <w:rPr>
                <w:b/>
              </w:rPr>
              <w:t>Examination Doc</w:t>
            </w:r>
          </w:p>
          <w:p w:rsidR="00497B37" w:rsidRPr="00AE2D95" w:rsidRDefault="00497B37" w:rsidP="00497B37">
            <w:pPr>
              <w:rPr>
                <w:b/>
              </w:rPr>
            </w:pPr>
            <w:r w:rsidRPr="00AE2D95">
              <w:rPr>
                <w:b/>
              </w:rPr>
              <w:t>Reference No.</w:t>
            </w:r>
          </w:p>
        </w:tc>
      </w:tr>
      <w:tr w:rsidR="00497B37" w:rsidTr="00AE2D95">
        <w:tc>
          <w:tcPr>
            <w:tcW w:w="5920" w:type="dxa"/>
            <w:shd w:val="clear" w:color="auto" w:fill="F2F2F2" w:themeFill="background1" w:themeFillShade="F2"/>
          </w:tcPr>
          <w:p w:rsidR="00497B37" w:rsidRPr="00501368" w:rsidRDefault="00497B37" w:rsidP="00AE2D95">
            <w:pPr>
              <w:spacing w:line="360" w:lineRule="auto"/>
              <w:rPr>
                <w:b/>
              </w:rPr>
            </w:pPr>
            <w:r>
              <w:rPr>
                <w:b/>
              </w:rPr>
              <w:t>NHDC to add fifth criteria to Policy SP15(a) requiring the demonstration of how the loss of hedgerows will be kept to a minimum and how trees will be retained</w:t>
            </w:r>
          </w:p>
        </w:tc>
        <w:tc>
          <w:tcPr>
            <w:tcW w:w="1931" w:type="dxa"/>
            <w:shd w:val="clear" w:color="auto" w:fill="F2F2F2" w:themeFill="background1" w:themeFillShade="F2"/>
          </w:tcPr>
          <w:p w:rsidR="00497B37" w:rsidRDefault="00497B37" w:rsidP="00ED67F7"/>
        </w:tc>
        <w:tc>
          <w:tcPr>
            <w:tcW w:w="1755" w:type="dxa"/>
            <w:shd w:val="clear" w:color="auto" w:fill="F2F2F2" w:themeFill="background1" w:themeFillShade="F2"/>
          </w:tcPr>
          <w:p w:rsidR="00497B37" w:rsidRDefault="00497B37" w:rsidP="00ED67F7"/>
        </w:tc>
      </w:tr>
      <w:tr w:rsidR="00497B37" w:rsidTr="00AE2D95">
        <w:tc>
          <w:tcPr>
            <w:tcW w:w="5920" w:type="dxa"/>
            <w:shd w:val="clear" w:color="auto" w:fill="F2F2F2" w:themeFill="background1" w:themeFillShade="F2"/>
          </w:tcPr>
          <w:p w:rsidR="00497B37" w:rsidRDefault="00497B37" w:rsidP="00ED67F7">
            <w:pPr>
              <w:spacing w:line="360" w:lineRule="auto"/>
              <w:rPr>
                <w:b/>
              </w:rPr>
            </w:pPr>
            <w:r>
              <w:rPr>
                <w:b/>
              </w:rPr>
              <w:t xml:space="preserve">NHDC to reconsider the wording of LG4, LG9 and LG10 with specific regard to the references in the policies to open space and the extent to which any or all of those sites do in fact constitute ‘open space’, and consequently whether criteria that refer to open space in the policies should remain/be deleted/be amended. </w:t>
            </w:r>
          </w:p>
        </w:tc>
        <w:tc>
          <w:tcPr>
            <w:tcW w:w="1931" w:type="dxa"/>
            <w:shd w:val="clear" w:color="auto" w:fill="F2F2F2" w:themeFill="background1" w:themeFillShade="F2"/>
          </w:tcPr>
          <w:p w:rsidR="00497B37" w:rsidRDefault="00497B37" w:rsidP="00ED67F7"/>
        </w:tc>
        <w:tc>
          <w:tcPr>
            <w:tcW w:w="1755" w:type="dxa"/>
            <w:shd w:val="clear" w:color="auto" w:fill="F2F2F2" w:themeFill="background1" w:themeFillShade="F2"/>
          </w:tcPr>
          <w:p w:rsidR="00497B37" w:rsidRDefault="00497B37" w:rsidP="00ED67F7"/>
        </w:tc>
      </w:tr>
      <w:tr w:rsidR="00497B37" w:rsidTr="00AE2D95">
        <w:tc>
          <w:tcPr>
            <w:tcW w:w="5920" w:type="dxa"/>
            <w:shd w:val="clear" w:color="auto" w:fill="F2F2F2" w:themeFill="background1" w:themeFillShade="F2"/>
          </w:tcPr>
          <w:p w:rsidR="00497B37" w:rsidRDefault="00497B37" w:rsidP="00ED67F7">
            <w:pPr>
              <w:spacing w:line="360" w:lineRule="auto"/>
              <w:rPr>
                <w:b/>
              </w:rPr>
            </w:pPr>
            <w:r>
              <w:rPr>
                <w:b/>
              </w:rPr>
              <w:t>NHDC to add text to LG5 to clarify the specific listed buildings of relevance to the allocation</w:t>
            </w:r>
          </w:p>
        </w:tc>
        <w:tc>
          <w:tcPr>
            <w:tcW w:w="1931" w:type="dxa"/>
            <w:shd w:val="clear" w:color="auto" w:fill="F2F2F2" w:themeFill="background1" w:themeFillShade="F2"/>
          </w:tcPr>
          <w:p w:rsidR="00497B37" w:rsidRDefault="00497B37" w:rsidP="00ED67F7"/>
        </w:tc>
        <w:tc>
          <w:tcPr>
            <w:tcW w:w="1755" w:type="dxa"/>
            <w:shd w:val="clear" w:color="auto" w:fill="F2F2F2" w:themeFill="background1" w:themeFillShade="F2"/>
          </w:tcPr>
          <w:p w:rsidR="00497B37" w:rsidRDefault="00497B37" w:rsidP="00ED67F7"/>
        </w:tc>
      </w:tr>
      <w:tr w:rsidR="00497B37" w:rsidTr="00AE2D95">
        <w:tc>
          <w:tcPr>
            <w:tcW w:w="5920" w:type="dxa"/>
            <w:shd w:val="clear" w:color="auto" w:fill="F2F2F2" w:themeFill="background1" w:themeFillShade="F2"/>
          </w:tcPr>
          <w:p w:rsidR="00497B37" w:rsidRDefault="00497B37" w:rsidP="00ED67F7">
            <w:pPr>
              <w:spacing w:line="360" w:lineRule="auto"/>
              <w:rPr>
                <w:b/>
              </w:rPr>
            </w:pPr>
            <w:r>
              <w:rPr>
                <w:b/>
              </w:rPr>
              <w:t>NHDC to</w:t>
            </w:r>
          </w:p>
          <w:p w:rsidR="00497B37" w:rsidRDefault="00497B37" w:rsidP="00ED67F7">
            <w:pPr>
              <w:pStyle w:val="ListParagraph"/>
              <w:numPr>
                <w:ilvl w:val="0"/>
                <w:numId w:val="29"/>
              </w:numPr>
              <w:spacing w:line="360" w:lineRule="auto"/>
              <w:rPr>
                <w:b/>
              </w:rPr>
            </w:pPr>
            <w:r w:rsidRPr="0013360E">
              <w:rPr>
                <w:b/>
              </w:rPr>
              <w:t>remove reference to retention of area of priority orchard habitat in LG6 to reflect position on the ground</w:t>
            </w:r>
          </w:p>
          <w:p w:rsidR="00497B37" w:rsidRDefault="00497B37" w:rsidP="00ED67F7">
            <w:pPr>
              <w:pStyle w:val="ListParagraph"/>
              <w:numPr>
                <w:ilvl w:val="0"/>
                <w:numId w:val="29"/>
              </w:numPr>
              <w:spacing w:line="360" w:lineRule="auto"/>
              <w:rPr>
                <w:b/>
              </w:rPr>
            </w:pPr>
            <w:r w:rsidRPr="0013360E">
              <w:rPr>
                <w:b/>
              </w:rPr>
              <w:t>provide note in respect of any restrictions on the use of LG6 that arise through a Compulsory Purchase Order</w:t>
            </w:r>
          </w:p>
          <w:p w:rsidR="00497B37" w:rsidRPr="0013360E" w:rsidRDefault="00497B37" w:rsidP="00ED67F7">
            <w:pPr>
              <w:pStyle w:val="ListParagraph"/>
              <w:numPr>
                <w:ilvl w:val="0"/>
                <w:numId w:val="29"/>
              </w:numPr>
              <w:spacing w:line="360" w:lineRule="auto"/>
              <w:rPr>
                <w:b/>
              </w:rPr>
            </w:pPr>
            <w:r w:rsidRPr="0013360E">
              <w:rPr>
                <w:b/>
              </w:rPr>
              <w:t xml:space="preserve">explain in note why the orchard </w:t>
            </w:r>
            <w:r>
              <w:rPr>
                <w:b/>
              </w:rPr>
              <w:t>has been</w:t>
            </w:r>
            <w:r w:rsidRPr="0013360E">
              <w:rPr>
                <w:b/>
              </w:rPr>
              <w:t xml:space="preserve"> removed</w:t>
            </w:r>
          </w:p>
        </w:tc>
        <w:tc>
          <w:tcPr>
            <w:tcW w:w="1931" w:type="dxa"/>
            <w:shd w:val="clear" w:color="auto" w:fill="F2F2F2" w:themeFill="background1" w:themeFillShade="F2"/>
          </w:tcPr>
          <w:p w:rsidR="00497B37" w:rsidRDefault="00497B37" w:rsidP="00ED67F7"/>
        </w:tc>
        <w:tc>
          <w:tcPr>
            <w:tcW w:w="1755" w:type="dxa"/>
            <w:shd w:val="clear" w:color="auto" w:fill="F2F2F2" w:themeFill="background1" w:themeFillShade="F2"/>
          </w:tcPr>
          <w:p w:rsidR="00497B37" w:rsidRDefault="00497B37" w:rsidP="00ED67F7"/>
        </w:tc>
      </w:tr>
      <w:tr w:rsidR="00497B37" w:rsidTr="00AE2D95">
        <w:tc>
          <w:tcPr>
            <w:tcW w:w="5920" w:type="dxa"/>
            <w:shd w:val="clear" w:color="auto" w:fill="F2F2F2" w:themeFill="background1" w:themeFillShade="F2"/>
          </w:tcPr>
          <w:p w:rsidR="00497B37" w:rsidRDefault="00497B37" w:rsidP="00ED67F7">
            <w:pPr>
              <w:spacing w:line="360" w:lineRule="auto"/>
              <w:rPr>
                <w:b/>
              </w:rPr>
            </w:pPr>
            <w:r>
              <w:rPr>
                <w:b/>
              </w:rPr>
              <w:t>NHDC to remove bullet point 2 from RY2 and bullet point 1 from RY10</w:t>
            </w:r>
          </w:p>
        </w:tc>
        <w:tc>
          <w:tcPr>
            <w:tcW w:w="1931" w:type="dxa"/>
            <w:shd w:val="clear" w:color="auto" w:fill="F2F2F2" w:themeFill="background1" w:themeFillShade="F2"/>
          </w:tcPr>
          <w:p w:rsidR="00497B37" w:rsidRDefault="00497B37" w:rsidP="00ED67F7"/>
        </w:tc>
        <w:tc>
          <w:tcPr>
            <w:tcW w:w="1755" w:type="dxa"/>
            <w:shd w:val="clear" w:color="auto" w:fill="F2F2F2" w:themeFill="background1" w:themeFillShade="F2"/>
          </w:tcPr>
          <w:p w:rsidR="00497B37" w:rsidRDefault="00497B37" w:rsidP="00ED67F7"/>
        </w:tc>
      </w:tr>
      <w:tr w:rsidR="00497B37" w:rsidTr="00AE2D95">
        <w:tc>
          <w:tcPr>
            <w:tcW w:w="5920" w:type="dxa"/>
            <w:shd w:val="clear" w:color="auto" w:fill="F2F2F2" w:themeFill="background1" w:themeFillShade="F2"/>
          </w:tcPr>
          <w:p w:rsidR="00497B37" w:rsidRDefault="00497B37" w:rsidP="00ED67F7">
            <w:pPr>
              <w:spacing w:line="360" w:lineRule="auto"/>
              <w:rPr>
                <w:b/>
              </w:rPr>
            </w:pPr>
            <w:r>
              <w:rPr>
                <w:b/>
              </w:rPr>
              <w:t>NHDC to amend ‘40 homes’ to ‘100 homes’ in RY4</w:t>
            </w:r>
          </w:p>
        </w:tc>
        <w:tc>
          <w:tcPr>
            <w:tcW w:w="1931" w:type="dxa"/>
            <w:shd w:val="clear" w:color="auto" w:fill="F2F2F2" w:themeFill="background1" w:themeFillShade="F2"/>
          </w:tcPr>
          <w:p w:rsidR="00497B37" w:rsidRDefault="00497B37" w:rsidP="00ED67F7"/>
        </w:tc>
        <w:tc>
          <w:tcPr>
            <w:tcW w:w="1755" w:type="dxa"/>
            <w:shd w:val="clear" w:color="auto" w:fill="F2F2F2" w:themeFill="background1" w:themeFillShade="F2"/>
          </w:tcPr>
          <w:p w:rsidR="00497B37" w:rsidRDefault="00497B37" w:rsidP="00ED67F7"/>
        </w:tc>
      </w:tr>
      <w:tr w:rsidR="00497B37" w:rsidTr="00497B37">
        <w:tc>
          <w:tcPr>
            <w:tcW w:w="5920" w:type="dxa"/>
          </w:tcPr>
          <w:p w:rsidR="00497B37" w:rsidRDefault="00497B37" w:rsidP="00ED67F7">
            <w:pPr>
              <w:spacing w:line="360" w:lineRule="auto"/>
              <w:rPr>
                <w:b/>
              </w:rPr>
            </w:pPr>
            <w:r>
              <w:rPr>
                <w:b/>
              </w:rPr>
              <w:t>NHDC to check whether the permission for RY5 has been implemented</w:t>
            </w:r>
          </w:p>
        </w:tc>
        <w:tc>
          <w:tcPr>
            <w:tcW w:w="1931" w:type="dxa"/>
          </w:tcPr>
          <w:p w:rsidR="00497B37" w:rsidRDefault="00497B37" w:rsidP="00ED67F7"/>
        </w:tc>
        <w:tc>
          <w:tcPr>
            <w:tcW w:w="1755" w:type="dxa"/>
          </w:tcPr>
          <w:p w:rsidR="00497B37" w:rsidRDefault="00497B37" w:rsidP="00ED67F7"/>
        </w:tc>
      </w:tr>
    </w:tbl>
    <w:p w:rsidR="00497B37" w:rsidRDefault="00497B37">
      <w:r>
        <w:br w:type="page"/>
      </w:r>
    </w:p>
    <w:p w:rsidR="00FA2BA4" w:rsidRDefault="00FA2BA4"/>
    <w:tbl>
      <w:tblPr>
        <w:tblStyle w:val="TableGrid"/>
        <w:tblW w:w="9606" w:type="dxa"/>
        <w:tblLook w:val="04A0" w:firstRow="1" w:lastRow="0" w:firstColumn="1" w:lastColumn="0" w:noHBand="0" w:noVBand="1"/>
      </w:tblPr>
      <w:tblGrid>
        <w:gridCol w:w="5920"/>
        <w:gridCol w:w="1843"/>
        <w:gridCol w:w="1843"/>
      </w:tblGrid>
      <w:tr w:rsidR="00AE2D95" w:rsidTr="00AE2D95">
        <w:trPr>
          <w:tblHeader/>
        </w:trPr>
        <w:tc>
          <w:tcPr>
            <w:tcW w:w="9606" w:type="dxa"/>
            <w:gridSpan w:val="3"/>
            <w:shd w:val="clear" w:color="auto" w:fill="BDD6EE" w:themeFill="accent1" w:themeFillTint="66"/>
          </w:tcPr>
          <w:p w:rsidR="00AE2D95" w:rsidRDefault="00AE2D95" w:rsidP="006367FB">
            <w:r>
              <w:t xml:space="preserve">Matter 10 – BALDOCK AND HITCHIN </w:t>
            </w:r>
          </w:p>
        </w:tc>
      </w:tr>
      <w:tr w:rsidR="00AE2D95" w:rsidTr="00AE2D95">
        <w:trPr>
          <w:tblHeader/>
        </w:trPr>
        <w:tc>
          <w:tcPr>
            <w:tcW w:w="5920" w:type="dxa"/>
            <w:shd w:val="clear" w:color="auto" w:fill="000000" w:themeFill="text1"/>
          </w:tcPr>
          <w:p w:rsidR="00AE2D95" w:rsidRPr="00AE2D95" w:rsidRDefault="00AE2D95" w:rsidP="00346B77">
            <w:pPr>
              <w:rPr>
                <w:b/>
              </w:rPr>
            </w:pPr>
            <w:r w:rsidRPr="00AE2D95">
              <w:rPr>
                <w:b/>
              </w:rPr>
              <w:t>Action</w:t>
            </w:r>
          </w:p>
        </w:tc>
        <w:tc>
          <w:tcPr>
            <w:tcW w:w="1843" w:type="dxa"/>
            <w:shd w:val="clear" w:color="auto" w:fill="000000" w:themeFill="text1"/>
          </w:tcPr>
          <w:p w:rsidR="00AE2D95" w:rsidRPr="00AE2D95" w:rsidRDefault="00AE2D95" w:rsidP="00346B77">
            <w:pPr>
              <w:rPr>
                <w:b/>
              </w:rPr>
            </w:pPr>
            <w:r w:rsidRPr="00AE2D95">
              <w:rPr>
                <w:b/>
              </w:rPr>
              <w:t>Date on which Action Completed</w:t>
            </w:r>
          </w:p>
        </w:tc>
        <w:tc>
          <w:tcPr>
            <w:tcW w:w="1843" w:type="dxa"/>
            <w:shd w:val="clear" w:color="auto" w:fill="000000" w:themeFill="text1"/>
          </w:tcPr>
          <w:p w:rsidR="00AE2D95" w:rsidRPr="00AE2D95" w:rsidRDefault="00AE2D95" w:rsidP="00AE2D95">
            <w:pPr>
              <w:rPr>
                <w:b/>
              </w:rPr>
            </w:pPr>
            <w:r w:rsidRPr="00AE2D95">
              <w:rPr>
                <w:b/>
              </w:rPr>
              <w:t>Examination Doc</w:t>
            </w:r>
          </w:p>
          <w:p w:rsidR="00AE2D95" w:rsidRPr="00AE2D95" w:rsidRDefault="00AE2D95" w:rsidP="00AE2D95">
            <w:pPr>
              <w:rPr>
                <w:b/>
              </w:rPr>
            </w:pPr>
            <w:r w:rsidRPr="00AE2D95">
              <w:rPr>
                <w:b/>
              </w:rPr>
              <w:t>Reference No.</w:t>
            </w:r>
          </w:p>
        </w:tc>
      </w:tr>
      <w:tr w:rsidR="00AE2D95" w:rsidTr="00AE2D95">
        <w:tc>
          <w:tcPr>
            <w:tcW w:w="5920" w:type="dxa"/>
          </w:tcPr>
          <w:p w:rsidR="00AE2D95" w:rsidRPr="00501368" w:rsidRDefault="00AE2D95" w:rsidP="005D7A9A">
            <w:pPr>
              <w:spacing w:line="360" w:lineRule="auto"/>
              <w:rPr>
                <w:b/>
              </w:rPr>
            </w:pPr>
            <w:r>
              <w:rPr>
                <w:b/>
              </w:rPr>
              <w:t xml:space="preserve">NHDC to provide correspondence between HCC and Network Rail re. the position in respect of the provision of access over the railway line for site BA1 </w:t>
            </w:r>
          </w:p>
        </w:tc>
        <w:tc>
          <w:tcPr>
            <w:tcW w:w="1843" w:type="dxa"/>
          </w:tcPr>
          <w:p w:rsidR="00AE2D95" w:rsidRDefault="00AE2D95" w:rsidP="005D7A9A"/>
        </w:tc>
        <w:tc>
          <w:tcPr>
            <w:tcW w:w="1843" w:type="dxa"/>
          </w:tcPr>
          <w:p w:rsidR="00AE2D95" w:rsidRDefault="00AE2D95" w:rsidP="005D7A9A"/>
        </w:tc>
      </w:tr>
      <w:tr w:rsidR="00AE2D95" w:rsidTr="00AE2D95">
        <w:tc>
          <w:tcPr>
            <w:tcW w:w="5920" w:type="dxa"/>
          </w:tcPr>
          <w:p w:rsidR="00AE2D95" w:rsidRDefault="00AE2D95" w:rsidP="005D7A9A">
            <w:pPr>
              <w:spacing w:line="360" w:lineRule="auto"/>
              <w:rPr>
                <w:b/>
              </w:rPr>
            </w:pPr>
            <w:r>
              <w:rPr>
                <w:b/>
              </w:rPr>
              <w:t>NHDC to clarify with HCC whether it is 2 x 3FE primary schools that they request for site BA1</w:t>
            </w:r>
          </w:p>
        </w:tc>
        <w:tc>
          <w:tcPr>
            <w:tcW w:w="1843" w:type="dxa"/>
          </w:tcPr>
          <w:p w:rsidR="00AE2D95" w:rsidRDefault="00AE2D95" w:rsidP="005D7A9A"/>
        </w:tc>
        <w:tc>
          <w:tcPr>
            <w:tcW w:w="1843" w:type="dxa"/>
          </w:tcPr>
          <w:p w:rsidR="00AE2D95" w:rsidRDefault="00AE2D95" w:rsidP="005D7A9A"/>
        </w:tc>
      </w:tr>
      <w:tr w:rsidR="00AE2D95" w:rsidTr="00AE2D95">
        <w:tc>
          <w:tcPr>
            <w:tcW w:w="5920" w:type="dxa"/>
            <w:shd w:val="clear" w:color="auto" w:fill="F2F2F2" w:themeFill="background1" w:themeFillShade="F2"/>
          </w:tcPr>
          <w:p w:rsidR="00AE2D95" w:rsidRDefault="00AE2D95" w:rsidP="005D7A9A">
            <w:pPr>
              <w:spacing w:line="360" w:lineRule="auto"/>
              <w:rPr>
                <w:b/>
              </w:rPr>
            </w:pPr>
            <w:r>
              <w:rPr>
                <w:b/>
              </w:rPr>
              <w:t>In respect of Policy HT2, NHDC to:</w:t>
            </w:r>
          </w:p>
          <w:p w:rsidR="00AE2D95" w:rsidRDefault="00AE2D95" w:rsidP="005D7A9A">
            <w:pPr>
              <w:pStyle w:val="ListParagraph"/>
              <w:numPr>
                <w:ilvl w:val="0"/>
                <w:numId w:val="30"/>
              </w:numPr>
              <w:spacing w:line="360" w:lineRule="auto"/>
              <w:rPr>
                <w:b/>
              </w:rPr>
            </w:pPr>
            <w:r>
              <w:rPr>
                <w:b/>
              </w:rPr>
              <w:t>add appropriate wording to ensure that no residential development is located within Flood Zone 2</w:t>
            </w:r>
          </w:p>
          <w:p w:rsidR="00AE2D95" w:rsidRPr="00A56406" w:rsidRDefault="00AE2D95" w:rsidP="005D7A9A">
            <w:pPr>
              <w:pStyle w:val="ListParagraph"/>
              <w:numPr>
                <w:ilvl w:val="0"/>
                <w:numId w:val="30"/>
              </w:numPr>
              <w:spacing w:line="360" w:lineRule="auto"/>
              <w:rPr>
                <w:b/>
              </w:rPr>
            </w:pPr>
            <w:r>
              <w:rPr>
                <w:b/>
              </w:rPr>
              <w:t>add appropriate wording re. the retention of hedgerows</w:t>
            </w:r>
          </w:p>
        </w:tc>
        <w:tc>
          <w:tcPr>
            <w:tcW w:w="1843" w:type="dxa"/>
            <w:shd w:val="clear" w:color="auto" w:fill="F2F2F2" w:themeFill="background1" w:themeFillShade="F2"/>
          </w:tcPr>
          <w:p w:rsidR="00AE2D95" w:rsidRDefault="00AE2D95" w:rsidP="005D7A9A"/>
        </w:tc>
        <w:tc>
          <w:tcPr>
            <w:tcW w:w="1843" w:type="dxa"/>
            <w:shd w:val="clear" w:color="auto" w:fill="F2F2F2" w:themeFill="background1" w:themeFillShade="F2"/>
          </w:tcPr>
          <w:p w:rsidR="00AE2D95" w:rsidRDefault="00AE2D95" w:rsidP="005D7A9A"/>
        </w:tc>
      </w:tr>
      <w:tr w:rsidR="00AE2D95" w:rsidTr="00AE2D95">
        <w:tc>
          <w:tcPr>
            <w:tcW w:w="5920" w:type="dxa"/>
            <w:shd w:val="clear" w:color="auto" w:fill="F2F2F2" w:themeFill="background1" w:themeFillShade="F2"/>
          </w:tcPr>
          <w:p w:rsidR="00AE2D95" w:rsidRDefault="00AE2D95" w:rsidP="005D7A9A">
            <w:pPr>
              <w:spacing w:line="360" w:lineRule="auto"/>
              <w:rPr>
                <w:b/>
              </w:rPr>
            </w:pPr>
            <w:r>
              <w:rPr>
                <w:b/>
              </w:rPr>
              <w:t>In respect of Policy HT3, NHDC to:</w:t>
            </w:r>
          </w:p>
          <w:p w:rsidR="00AE2D95" w:rsidRDefault="00AE2D95" w:rsidP="005D7A9A">
            <w:pPr>
              <w:pStyle w:val="ListParagraph"/>
              <w:numPr>
                <w:ilvl w:val="0"/>
                <w:numId w:val="31"/>
              </w:numPr>
              <w:spacing w:line="360" w:lineRule="auto"/>
              <w:rPr>
                <w:b/>
              </w:rPr>
            </w:pPr>
            <w:r>
              <w:rPr>
                <w:b/>
              </w:rPr>
              <w:t>amend Westbury Close to Westbury ‘Way’</w:t>
            </w:r>
          </w:p>
          <w:p w:rsidR="00AE2D95" w:rsidRPr="007F13BB" w:rsidRDefault="00AE2D95" w:rsidP="005D7A9A">
            <w:pPr>
              <w:pStyle w:val="ListParagraph"/>
              <w:numPr>
                <w:ilvl w:val="0"/>
                <w:numId w:val="31"/>
              </w:numPr>
              <w:spacing w:line="360" w:lineRule="auto"/>
              <w:rPr>
                <w:b/>
              </w:rPr>
            </w:pPr>
            <w:r>
              <w:rPr>
                <w:b/>
              </w:rPr>
              <w:t>add appropriate wording re. the retention of hedgerows</w:t>
            </w:r>
          </w:p>
        </w:tc>
        <w:tc>
          <w:tcPr>
            <w:tcW w:w="1843" w:type="dxa"/>
            <w:shd w:val="clear" w:color="auto" w:fill="F2F2F2" w:themeFill="background1" w:themeFillShade="F2"/>
          </w:tcPr>
          <w:p w:rsidR="00AE2D95" w:rsidRDefault="00AE2D95" w:rsidP="005D7A9A"/>
        </w:tc>
        <w:tc>
          <w:tcPr>
            <w:tcW w:w="1843" w:type="dxa"/>
            <w:shd w:val="clear" w:color="auto" w:fill="F2F2F2" w:themeFill="background1" w:themeFillShade="F2"/>
          </w:tcPr>
          <w:p w:rsidR="00AE2D95" w:rsidRDefault="00AE2D95" w:rsidP="005D7A9A"/>
        </w:tc>
      </w:tr>
      <w:tr w:rsidR="00AE2D95" w:rsidTr="00AE2D95">
        <w:tc>
          <w:tcPr>
            <w:tcW w:w="5920" w:type="dxa"/>
            <w:shd w:val="clear" w:color="auto" w:fill="F2F2F2" w:themeFill="background1" w:themeFillShade="F2"/>
          </w:tcPr>
          <w:p w:rsidR="00AE2D95" w:rsidRDefault="00AE2D95" w:rsidP="005D7A9A">
            <w:pPr>
              <w:spacing w:line="360" w:lineRule="auto"/>
              <w:rPr>
                <w:b/>
              </w:rPr>
            </w:pPr>
            <w:r>
              <w:rPr>
                <w:b/>
              </w:rPr>
              <w:t>In respect of Policy HT6, NHDC to add appropriate wording in respect of the retention of hedgerows/woodland/trees to the south and west of the site</w:t>
            </w:r>
          </w:p>
        </w:tc>
        <w:tc>
          <w:tcPr>
            <w:tcW w:w="1843" w:type="dxa"/>
            <w:shd w:val="clear" w:color="auto" w:fill="F2F2F2" w:themeFill="background1" w:themeFillShade="F2"/>
          </w:tcPr>
          <w:p w:rsidR="00AE2D95" w:rsidRDefault="00AE2D95" w:rsidP="005D7A9A"/>
        </w:tc>
        <w:tc>
          <w:tcPr>
            <w:tcW w:w="1843" w:type="dxa"/>
            <w:shd w:val="clear" w:color="auto" w:fill="F2F2F2" w:themeFill="background1" w:themeFillShade="F2"/>
          </w:tcPr>
          <w:p w:rsidR="00AE2D95" w:rsidRDefault="00AE2D95" w:rsidP="005D7A9A"/>
        </w:tc>
      </w:tr>
      <w:tr w:rsidR="00AE2D95" w:rsidTr="00AE2D95">
        <w:tc>
          <w:tcPr>
            <w:tcW w:w="5920" w:type="dxa"/>
            <w:shd w:val="clear" w:color="auto" w:fill="F2F2F2" w:themeFill="background1" w:themeFillShade="F2"/>
          </w:tcPr>
          <w:p w:rsidR="00AE2D95" w:rsidRDefault="00AE2D95" w:rsidP="005D7A9A">
            <w:pPr>
              <w:spacing w:line="360" w:lineRule="auto"/>
              <w:rPr>
                <w:b/>
              </w:rPr>
            </w:pPr>
            <w:r>
              <w:rPr>
                <w:b/>
              </w:rPr>
              <w:t>In respect of Policy HT8, NHDC to amend policies map to reflect fact that part of site is no longer available. Policy also to be amended to reflect fact that part of site has already been built out</w:t>
            </w:r>
          </w:p>
        </w:tc>
        <w:tc>
          <w:tcPr>
            <w:tcW w:w="1843" w:type="dxa"/>
            <w:shd w:val="clear" w:color="auto" w:fill="F2F2F2" w:themeFill="background1" w:themeFillShade="F2"/>
          </w:tcPr>
          <w:p w:rsidR="00AE2D95" w:rsidRDefault="00AE2D95" w:rsidP="005D7A9A"/>
        </w:tc>
        <w:tc>
          <w:tcPr>
            <w:tcW w:w="1843" w:type="dxa"/>
            <w:shd w:val="clear" w:color="auto" w:fill="F2F2F2" w:themeFill="background1" w:themeFillShade="F2"/>
          </w:tcPr>
          <w:p w:rsidR="00AE2D95" w:rsidRDefault="00AE2D95" w:rsidP="005D7A9A"/>
        </w:tc>
      </w:tr>
    </w:tbl>
    <w:p w:rsidR="00497B37" w:rsidRDefault="00497B37"/>
    <w:p w:rsidR="00497B37" w:rsidRDefault="00497B37">
      <w:r>
        <w:br w:type="page"/>
      </w:r>
    </w:p>
    <w:p w:rsidR="007C5C4E" w:rsidRDefault="007C5C4E"/>
    <w:tbl>
      <w:tblPr>
        <w:tblStyle w:val="TableGrid"/>
        <w:tblW w:w="9606" w:type="dxa"/>
        <w:tblLook w:val="04A0" w:firstRow="1" w:lastRow="0" w:firstColumn="1" w:lastColumn="0" w:noHBand="0" w:noVBand="1"/>
      </w:tblPr>
      <w:tblGrid>
        <w:gridCol w:w="5920"/>
        <w:gridCol w:w="1801"/>
        <w:gridCol w:w="1885"/>
      </w:tblGrid>
      <w:tr w:rsidR="00AE2D95" w:rsidTr="00AE2D95">
        <w:trPr>
          <w:tblHeader/>
        </w:trPr>
        <w:tc>
          <w:tcPr>
            <w:tcW w:w="9606" w:type="dxa"/>
            <w:gridSpan w:val="3"/>
            <w:shd w:val="clear" w:color="auto" w:fill="BDD6EE" w:themeFill="accent1" w:themeFillTint="66"/>
          </w:tcPr>
          <w:p w:rsidR="00AE2D95" w:rsidRDefault="00AE2D95" w:rsidP="00041BF6">
            <w:r>
              <w:t xml:space="preserve">Matter 10 – LUTON </w:t>
            </w:r>
          </w:p>
        </w:tc>
      </w:tr>
      <w:tr w:rsidR="00AE2D95" w:rsidTr="00AE2D95">
        <w:trPr>
          <w:tblHeader/>
        </w:trPr>
        <w:tc>
          <w:tcPr>
            <w:tcW w:w="5920" w:type="dxa"/>
            <w:shd w:val="clear" w:color="auto" w:fill="000000" w:themeFill="text1"/>
          </w:tcPr>
          <w:p w:rsidR="00AE2D95" w:rsidRPr="00AE2D95" w:rsidRDefault="00AE2D95" w:rsidP="00625708">
            <w:pPr>
              <w:rPr>
                <w:b/>
              </w:rPr>
            </w:pPr>
            <w:r w:rsidRPr="00AE2D95">
              <w:rPr>
                <w:b/>
              </w:rPr>
              <w:t>Action</w:t>
            </w:r>
          </w:p>
        </w:tc>
        <w:tc>
          <w:tcPr>
            <w:tcW w:w="1801" w:type="dxa"/>
            <w:shd w:val="clear" w:color="auto" w:fill="000000" w:themeFill="text1"/>
          </w:tcPr>
          <w:p w:rsidR="00AE2D95" w:rsidRPr="00AE2D95" w:rsidRDefault="00AE2D95" w:rsidP="00625708">
            <w:pPr>
              <w:rPr>
                <w:b/>
              </w:rPr>
            </w:pPr>
            <w:r w:rsidRPr="00AE2D95">
              <w:rPr>
                <w:b/>
              </w:rPr>
              <w:t>Date on which Action Completed</w:t>
            </w:r>
          </w:p>
        </w:tc>
        <w:tc>
          <w:tcPr>
            <w:tcW w:w="1885" w:type="dxa"/>
            <w:shd w:val="clear" w:color="auto" w:fill="000000" w:themeFill="text1"/>
          </w:tcPr>
          <w:p w:rsidR="00AE2D95" w:rsidRPr="00AE2D95" w:rsidRDefault="00AE2D95" w:rsidP="00AE2D95">
            <w:pPr>
              <w:rPr>
                <w:b/>
              </w:rPr>
            </w:pPr>
            <w:r w:rsidRPr="00AE2D95">
              <w:rPr>
                <w:b/>
              </w:rPr>
              <w:t>Examination Doc</w:t>
            </w:r>
          </w:p>
          <w:p w:rsidR="00AE2D95" w:rsidRPr="00AE2D95" w:rsidRDefault="00AE2D95" w:rsidP="00AE2D95">
            <w:pPr>
              <w:rPr>
                <w:b/>
              </w:rPr>
            </w:pPr>
            <w:r w:rsidRPr="00AE2D95">
              <w:rPr>
                <w:b/>
              </w:rPr>
              <w:t>Reference No.</w:t>
            </w:r>
          </w:p>
        </w:tc>
      </w:tr>
      <w:tr w:rsidR="00AE2D95" w:rsidTr="00AE2D95">
        <w:tc>
          <w:tcPr>
            <w:tcW w:w="5920" w:type="dxa"/>
          </w:tcPr>
          <w:p w:rsidR="00AE2D95" w:rsidRPr="00501368" w:rsidRDefault="00AE2D95" w:rsidP="00041BF6">
            <w:pPr>
              <w:spacing w:line="360" w:lineRule="auto"/>
              <w:rPr>
                <w:b/>
              </w:rPr>
            </w:pPr>
            <w:r>
              <w:rPr>
                <w:b/>
              </w:rPr>
              <w:t>NHDC to provide AECOM Technical Note confirming that the current  Luton Airport permission was taken into account in modelling</w:t>
            </w:r>
          </w:p>
        </w:tc>
        <w:tc>
          <w:tcPr>
            <w:tcW w:w="1801" w:type="dxa"/>
          </w:tcPr>
          <w:p w:rsidR="00AE2D95" w:rsidRDefault="00AE2D95" w:rsidP="00041BF6"/>
        </w:tc>
        <w:tc>
          <w:tcPr>
            <w:tcW w:w="1885" w:type="dxa"/>
          </w:tcPr>
          <w:p w:rsidR="00AE2D95" w:rsidRDefault="00AE2D95" w:rsidP="00041BF6"/>
        </w:tc>
      </w:tr>
      <w:tr w:rsidR="00AE2D95" w:rsidTr="00AE2D95">
        <w:tc>
          <w:tcPr>
            <w:tcW w:w="5920" w:type="dxa"/>
          </w:tcPr>
          <w:p w:rsidR="00AE2D95" w:rsidRDefault="00AE2D95" w:rsidP="00041BF6">
            <w:pPr>
              <w:spacing w:line="360" w:lineRule="auto"/>
              <w:rPr>
                <w:b/>
              </w:rPr>
            </w:pPr>
            <w:r>
              <w:rPr>
                <w:b/>
              </w:rPr>
              <w:t>NHDC to add Central Beds Reg 19 Draft Plan to Examination Library</w:t>
            </w:r>
          </w:p>
        </w:tc>
        <w:tc>
          <w:tcPr>
            <w:tcW w:w="1801" w:type="dxa"/>
          </w:tcPr>
          <w:p w:rsidR="00AE2D95" w:rsidRDefault="00AE2D95" w:rsidP="00041BF6">
            <w:r>
              <w:t>February 2018</w:t>
            </w:r>
          </w:p>
        </w:tc>
        <w:tc>
          <w:tcPr>
            <w:tcW w:w="1885" w:type="dxa"/>
          </w:tcPr>
          <w:p w:rsidR="00AE2D95" w:rsidRDefault="006C3F0E" w:rsidP="00041BF6">
            <w:hyperlink r:id="rId8" w:history="1">
              <w:r w:rsidR="00AE2D95" w:rsidRPr="006C3F0E">
                <w:rPr>
                  <w:rStyle w:val="Hyperlink"/>
                </w:rPr>
                <w:t>ORD10</w:t>
              </w:r>
            </w:hyperlink>
          </w:p>
        </w:tc>
        <w:bookmarkStart w:id="0" w:name="_GoBack"/>
        <w:bookmarkEnd w:id="0"/>
      </w:tr>
    </w:tbl>
    <w:p w:rsidR="00497B37" w:rsidRDefault="00497B37"/>
    <w:p w:rsidR="00497B37" w:rsidRDefault="00497B37">
      <w:r>
        <w:br w:type="page"/>
      </w:r>
    </w:p>
    <w:p w:rsidR="00041BF6" w:rsidRDefault="00041BF6"/>
    <w:tbl>
      <w:tblPr>
        <w:tblStyle w:val="TableGrid"/>
        <w:tblW w:w="9606" w:type="dxa"/>
        <w:tblLook w:val="04A0" w:firstRow="1" w:lastRow="0" w:firstColumn="1" w:lastColumn="0" w:noHBand="0" w:noVBand="1"/>
      </w:tblPr>
      <w:tblGrid>
        <w:gridCol w:w="5920"/>
        <w:gridCol w:w="1843"/>
        <w:gridCol w:w="1843"/>
      </w:tblGrid>
      <w:tr w:rsidR="00AE2D95" w:rsidTr="007C5C4E">
        <w:trPr>
          <w:tblHeader/>
        </w:trPr>
        <w:tc>
          <w:tcPr>
            <w:tcW w:w="9606" w:type="dxa"/>
            <w:gridSpan w:val="3"/>
            <w:shd w:val="clear" w:color="auto" w:fill="BDD6EE" w:themeFill="accent1" w:themeFillTint="66"/>
          </w:tcPr>
          <w:p w:rsidR="00AE2D95" w:rsidRDefault="00AE2D95" w:rsidP="002135F0">
            <w:r>
              <w:t>Matter 11 – ASHWELL, BARKWAY, BARLEY, BREACHWOOD GREEN, HEXTON AND KIMPTON</w:t>
            </w:r>
          </w:p>
        </w:tc>
      </w:tr>
      <w:tr w:rsidR="00AE2D95" w:rsidTr="007C5C4E">
        <w:trPr>
          <w:tblHeader/>
        </w:trPr>
        <w:tc>
          <w:tcPr>
            <w:tcW w:w="5920" w:type="dxa"/>
            <w:shd w:val="clear" w:color="auto" w:fill="000000" w:themeFill="text1"/>
          </w:tcPr>
          <w:p w:rsidR="00AE2D95" w:rsidRDefault="00AE2D95" w:rsidP="009B1B3D">
            <w:r>
              <w:t>Action</w:t>
            </w:r>
          </w:p>
        </w:tc>
        <w:tc>
          <w:tcPr>
            <w:tcW w:w="1843" w:type="dxa"/>
            <w:shd w:val="clear" w:color="auto" w:fill="000000" w:themeFill="text1"/>
          </w:tcPr>
          <w:p w:rsidR="00AE2D95" w:rsidRDefault="00AE2D95" w:rsidP="009B1B3D">
            <w:r>
              <w:t>Date on which Action Completed</w:t>
            </w:r>
          </w:p>
        </w:tc>
        <w:tc>
          <w:tcPr>
            <w:tcW w:w="1843" w:type="dxa"/>
            <w:shd w:val="clear" w:color="auto" w:fill="000000" w:themeFill="text1"/>
          </w:tcPr>
          <w:p w:rsidR="00AE2D95" w:rsidRPr="00AE2D95" w:rsidRDefault="00AE2D95" w:rsidP="00AE2D95">
            <w:pPr>
              <w:rPr>
                <w:b/>
              </w:rPr>
            </w:pPr>
            <w:r w:rsidRPr="00AE2D95">
              <w:rPr>
                <w:b/>
              </w:rPr>
              <w:t>Examination Doc</w:t>
            </w:r>
          </w:p>
          <w:p w:rsidR="00AE2D95" w:rsidRDefault="00AE2D95" w:rsidP="00AE2D95">
            <w:r w:rsidRPr="00AE2D95">
              <w:rPr>
                <w:b/>
              </w:rPr>
              <w:t>Reference No.</w:t>
            </w:r>
          </w:p>
        </w:tc>
      </w:tr>
      <w:tr w:rsidR="00AE2D95" w:rsidTr="007C5C4E">
        <w:tc>
          <w:tcPr>
            <w:tcW w:w="5920" w:type="dxa"/>
            <w:shd w:val="clear" w:color="auto" w:fill="F2F2F2" w:themeFill="background1" w:themeFillShade="F2"/>
          </w:tcPr>
          <w:p w:rsidR="00AE2D95" w:rsidRDefault="00AE2D95" w:rsidP="009E3A92">
            <w:pPr>
              <w:spacing w:line="360" w:lineRule="auto"/>
              <w:rPr>
                <w:b/>
              </w:rPr>
            </w:pPr>
            <w:r>
              <w:rPr>
                <w:b/>
              </w:rPr>
              <w:t xml:space="preserve">In respect of AS1, NHDC to </w:t>
            </w:r>
          </w:p>
          <w:p w:rsidR="00AE2D95" w:rsidRDefault="00AE2D95" w:rsidP="009E3A92">
            <w:pPr>
              <w:pStyle w:val="ListParagraph"/>
              <w:numPr>
                <w:ilvl w:val="0"/>
                <w:numId w:val="32"/>
              </w:numPr>
              <w:spacing w:line="360" w:lineRule="auto"/>
              <w:rPr>
                <w:b/>
              </w:rPr>
            </w:pPr>
            <w:r>
              <w:rPr>
                <w:b/>
              </w:rPr>
              <w:t>include reference to road access in bullet point 1</w:t>
            </w:r>
          </w:p>
          <w:p w:rsidR="00AE2D95" w:rsidRPr="006B39F3" w:rsidRDefault="00AE2D95" w:rsidP="009E3A92">
            <w:pPr>
              <w:pStyle w:val="ListParagraph"/>
              <w:numPr>
                <w:ilvl w:val="0"/>
                <w:numId w:val="32"/>
              </w:numPr>
              <w:spacing w:line="360" w:lineRule="auto"/>
              <w:rPr>
                <w:b/>
              </w:rPr>
            </w:pPr>
            <w:r>
              <w:rPr>
                <w:b/>
              </w:rPr>
              <w:t>include reference to the retention of boundary hedgerows</w:t>
            </w:r>
          </w:p>
        </w:tc>
        <w:tc>
          <w:tcPr>
            <w:tcW w:w="1843" w:type="dxa"/>
            <w:shd w:val="clear" w:color="auto" w:fill="F2F2F2" w:themeFill="background1" w:themeFillShade="F2"/>
          </w:tcPr>
          <w:p w:rsidR="00AE2D95" w:rsidRDefault="00AE2D95" w:rsidP="009E3A92"/>
        </w:tc>
        <w:tc>
          <w:tcPr>
            <w:tcW w:w="1843" w:type="dxa"/>
            <w:shd w:val="clear" w:color="auto" w:fill="F2F2F2" w:themeFill="background1" w:themeFillShade="F2"/>
          </w:tcPr>
          <w:p w:rsidR="00AE2D95" w:rsidRDefault="00AE2D95" w:rsidP="009E3A92"/>
        </w:tc>
      </w:tr>
      <w:tr w:rsidR="00AE2D95" w:rsidTr="007C5C4E">
        <w:tc>
          <w:tcPr>
            <w:tcW w:w="5920" w:type="dxa"/>
            <w:shd w:val="clear" w:color="auto" w:fill="F2F2F2" w:themeFill="background1" w:themeFillShade="F2"/>
          </w:tcPr>
          <w:p w:rsidR="00AE2D95" w:rsidRDefault="00AE2D95" w:rsidP="009E3A92">
            <w:pPr>
              <w:spacing w:line="360" w:lineRule="auto"/>
              <w:rPr>
                <w:b/>
              </w:rPr>
            </w:pPr>
            <w:r>
              <w:rPr>
                <w:b/>
              </w:rPr>
              <w:t>In respect of BK2, NHDC to consider the removal of the part of the site that is proposed to be retained as public amenity space from the allocation</w:t>
            </w:r>
          </w:p>
        </w:tc>
        <w:tc>
          <w:tcPr>
            <w:tcW w:w="1843" w:type="dxa"/>
            <w:shd w:val="clear" w:color="auto" w:fill="F2F2F2" w:themeFill="background1" w:themeFillShade="F2"/>
          </w:tcPr>
          <w:p w:rsidR="00AE2D95" w:rsidRDefault="00AE2D95" w:rsidP="009E3A92"/>
        </w:tc>
        <w:tc>
          <w:tcPr>
            <w:tcW w:w="1843" w:type="dxa"/>
            <w:shd w:val="clear" w:color="auto" w:fill="F2F2F2" w:themeFill="background1" w:themeFillShade="F2"/>
          </w:tcPr>
          <w:p w:rsidR="00AE2D95" w:rsidRDefault="00AE2D95" w:rsidP="009E3A92"/>
        </w:tc>
      </w:tr>
      <w:tr w:rsidR="00AE2D95" w:rsidTr="007C5C4E">
        <w:tc>
          <w:tcPr>
            <w:tcW w:w="5920" w:type="dxa"/>
            <w:shd w:val="clear" w:color="auto" w:fill="F2F2F2" w:themeFill="background1" w:themeFillShade="F2"/>
          </w:tcPr>
          <w:p w:rsidR="00AE2D95" w:rsidRDefault="00AE2D95" w:rsidP="009E3A92">
            <w:pPr>
              <w:spacing w:line="360" w:lineRule="auto"/>
              <w:rPr>
                <w:b/>
              </w:rPr>
            </w:pPr>
            <w:r>
              <w:rPr>
                <w:b/>
              </w:rPr>
              <w:t xml:space="preserve">In respect of BK3, NHDC to include additional criteria to take account of presence of Newsell Park Stud </w:t>
            </w:r>
          </w:p>
        </w:tc>
        <w:tc>
          <w:tcPr>
            <w:tcW w:w="1843" w:type="dxa"/>
            <w:shd w:val="clear" w:color="auto" w:fill="F2F2F2" w:themeFill="background1" w:themeFillShade="F2"/>
          </w:tcPr>
          <w:p w:rsidR="00AE2D95" w:rsidRDefault="00AE2D95" w:rsidP="009E3A92"/>
        </w:tc>
        <w:tc>
          <w:tcPr>
            <w:tcW w:w="1843" w:type="dxa"/>
            <w:shd w:val="clear" w:color="auto" w:fill="F2F2F2" w:themeFill="background1" w:themeFillShade="F2"/>
          </w:tcPr>
          <w:p w:rsidR="00AE2D95" w:rsidRDefault="00AE2D95" w:rsidP="009E3A92"/>
        </w:tc>
      </w:tr>
      <w:tr w:rsidR="00AE2D95" w:rsidTr="007C5C4E">
        <w:tc>
          <w:tcPr>
            <w:tcW w:w="5920" w:type="dxa"/>
            <w:shd w:val="clear" w:color="auto" w:fill="F2F2F2" w:themeFill="background1" w:themeFillShade="F2"/>
          </w:tcPr>
          <w:p w:rsidR="00AE2D95" w:rsidRDefault="00AE2D95" w:rsidP="00264F2A">
            <w:pPr>
              <w:spacing w:line="360" w:lineRule="auto"/>
              <w:rPr>
                <w:b/>
              </w:rPr>
            </w:pPr>
            <w:r>
              <w:rPr>
                <w:b/>
              </w:rPr>
              <w:t xml:space="preserve">In respect of BK3, NHDC to consider its position with regard to the reservation of land for a school and whether that part of the site should be subject to a special designation </w:t>
            </w:r>
          </w:p>
        </w:tc>
        <w:tc>
          <w:tcPr>
            <w:tcW w:w="1843" w:type="dxa"/>
            <w:shd w:val="clear" w:color="auto" w:fill="F2F2F2" w:themeFill="background1" w:themeFillShade="F2"/>
          </w:tcPr>
          <w:p w:rsidR="00AE2D95" w:rsidRDefault="00AE2D95" w:rsidP="009E3A92"/>
        </w:tc>
        <w:tc>
          <w:tcPr>
            <w:tcW w:w="1843" w:type="dxa"/>
            <w:shd w:val="clear" w:color="auto" w:fill="F2F2F2" w:themeFill="background1" w:themeFillShade="F2"/>
          </w:tcPr>
          <w:p w:rsidR="00AE2D95" w:rsidRDefault="00AE2D95" w:rsidP="009E3A92"/>
        </w:tc>
      </w:tr>
      <w:tr w:rsidR="00AE2D95" w:rsidTr="007C5C4E">
        <w:tc>
          <w:tcPr>
            <w:tcW w:w="5920" w:type="dxa"/>
            <w:shd w:val="clear" w:color="auto" w:fill="F2F2F2" w:themeFill="background1" w:themeFillShade="F2"/>
          </w:tcPr>
          <w:p w:rsidR="00AE2D95" w:rsidRDefault="00AE2D95" w:rsidP="009E3A92">
            <w:pPr>
              <w:spacing w:line="360" w:lineRule="auto"/>
              <w:rPr>
                <w:b/>
              </w:rPr>
            </w:pPr>
            <w:r>
              <w:rPr>
                <w:b/>
              </w:rPr>
              <w:t>In respect of KW1, NHDC to clarify bullet point 5 to refer to a link to footway 14</w:t>
            </w:r>
          </w:p>
        </w:tc>
        <w:tc>
          <w:tcPr>
            <w:tcW w:w="1843" w:type="dxa"/>
            <w:shd w:val="clear" w:color="auto" w:fill="F2F2F2" w:themeFill="background1" w:themeFillShade="F2"/>
          </w:tcPr>
          <w:p w:rsidR="00AE2D95" w:rsidRDefault="00AE2D95" w:rsidP="009E3A92"/>
        </w:tc>
        <w:tc>
          <w:tcPr>
            <w:tcW w:w="1843" w:type="dxa"/>
            <w:shd w:val="clear" w:color="auto" w:fill="F2F2F2" w:themeFill="background1" w:themeFillShade="F2"/>
          </w:tcPr>
          <w:p w:rsidR="00AE2D95" w:rsidRDefault="00AE2D95" w:rsidP="009E3A92"/>
        </w:tc>
      </w:tr>
      <w:tr w:rsidR="00AE2D95" w:rsidTr="007C5C4E">
        <w:tc>
          <w:tcPr>
            <w:tcW w:w="5920" w:type="dxa"/>
            <w:shd w:val="clear" w:color="auto" w:fill="F2F2F2" w:themeFill="background1" w:themeFillShade="F2"/>
          </w:tcPr>
          <w:p w:rsidR="00AE2D95" w:rsidRDefault="00AE2D95" w:rsidP="009E3A92">
            <w:pPr>
              <w:spacing w:line="360" w:lineRule="auto"/>
              <w:rPr>
                <w:b/>
              </w:rPr>
            </w:pPr>
            <w:r>
              <w:rPr>
                <w:b/>
              </w:rPr>
              <w:t xml:space="preserve">In respect of KM3, NHDC to </w:t>
            </w:r>
          </w:p>
          <w:p w:rsidR="00AE2D95" w:rsidRDefault="00AE2D95" w:rsidP="0067695F">
            <w:pPr>
              <w:pStyle w:val="ListParagraph"/>
              <w:numPr>
                <w:ilvl w:val="0"/>
                <w:numId w:val="33"/>
              </w:numPr>
              <w:spacing w:line="360" w:lineRule="auto"/>
              <w:rPr>
                <w:b/>
              </w:rPr>
            </w:pPr>
            <w:r w:rsidRPr="0067695F">
              <w:rPr>
                <w:b/>
              </w:rPr>
              <w:t>add reference to groundwater flo</w:t>
            </w:r>
            <w:r>
              <w:rPr>
                <w:b/>
              </w:rPr>
              <w:t>od issues to bullet point 1</w:t>
            </w:r>
          </w:p>
          <w:p w:rsidR="00AE2D95" w:rsidRDefault="00AE2D95" w:rsidP="0067695F">
            <w:pPr>
              <w:pStyle w:val="ListParagraph"/>
              <w:numPr>
                <w:ilvl w:val="0"/>
                <w:numId w:val="33"/>
              </w:numPr>
              <w:spacing w:line="360" w:lineRule="auto"/>
              <w:rPr>
                <w:b/>
              </w:rPr>
            </w:pPr>
            <w:r w:rsidRPr="0067695F">
              <w:rPr>
                <w:b/>
              </w:rPr>
              <w:t xml:space="preserve"> explain flood issue in supporting text</w:t>
            </w:r>
          </w:p>
          <w:p w:rsidR="00AE2D95" w:rsidRPr="0067695F" w:rsidRDefault="00AE2D95" w:rsidP="0067695F">
            <w:pPr>
              <w:pStyle w:val="ListParagraph"/>
              <w:numPr>
                <w:ilvl w:val="0"/>
                <w:numId w:val="33"/>
              </w:numPr>
              <w:spacing w:line="360" w:lineRule="auto"/>
              <w:rPr>
                <w:b/>
              </w:rPr>
            </w:pPr>
            <w:r w:rsidRPr="0067695F">
              <w:rPr>
                <w:b/>
              </w:rPr>
              <w:t>remove reference to primary school expansion from the Infrastructure Delivery Plan</w:t>
            </w:r>
          </w:p>
        </w:tc>
        <w:tc>
          <w:tcPr>
            <w:tcW w:w="1843" w:type="dxa"/>
            <w:shd w:val="clear" w:color="auto" w:fill="F2F2F2" w:themeFill="background1" w:themeFillShade="F2"/>
          </w:tcPr>
          <w:p w:rsidR="00AE2D95" w:rsidRDefault="00AE2D95" w:rsidP="009E3A92"/>
        </w:tc>
        <w:tc>
          <w:tcPr>
            <w:tcW w:w="1843" w:type="dxa"/>
            <w:shd w:val="clear" w:color="auto" w:fill="F2F2F2" w:themeFill="background1" w:themeFillShade="F2"/>
          </w:tcPr>
          <w:p w:rsidR="00AE2D95" w:rsidRDefault="00AE2D95" w:rsidP="009E3A92"/>
        </w:tc>
      </w:tr>
    </w:tbl>
    <w:p w:rsidR="002135F0" w:rsidRDefault="002135F0"/>
    <w:sectPr w:rsidR="002135F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681" w:rsidRDefault="00782B56">
      <w:pPr>
        <w:spacing w:after="0" w:line="240" w:lineRule="auto"/>
      </w:pPr>
      <w:r>
        <w:separator/>
      </w:r>
    </w:p>
  </w:endnote>
  <w:endnote w:type="continuationSeparator" w:id="0">
    <w:p w:rsidR="001D5681" w:rsidRDefault="00782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060025"/>
      <w:docPartObj>
        <w:docPartGallery w:val="Page Numbers (Bottom of Page)"/>
        <w:docPartUnique/>
      </w:docPartObj>
    </w:sdtPr>
    <w:sdtEndPr>
      <w:rPr>
        <w:noProof/>
      </w:rPr>
    </w:sdtEndPr>
    <w:sdtContent>
      <w:p w:rsidR="00952C5D" w:rsidRDefault="00EA4C68">
        <w:pPr>
          <w:pStyle w:val="Footer"/>
          <w:jc w:val="center"/>
        </w:pPr>
        <w:r>
          <w:fldChar w:fldCharType="begin"/>
        </w:r>
        <w:r>
          <w:instrText xml:space="preserve"> PAGE   \* MERGEFORMAT </w:instrText>
        </w:r>
        <w:r>
          <w:fldChar w:fldCharType="separate"/>
        </w:r>
        <w:r w:rsidR="006C3F0E">
          <w:rPr>
            <w:noProof/>
          </w:rPr>
          <w:t>1</w:t>
        </w:r>
        <w:r>
          <w:rPr>
            <w:noProof/>
          </w:rPr>
          <w:fldChar w:fldCharType="end"/>
        </w:r>
      </w:p>
    </w:sdtContent>
  </w:sdt>
  <w:p w:rsidR="00952C5D" w:rsidRDefault="006C3F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681" w:rsidRDefault="00782B56">
      <w:pPr>
        <w:spacing w:after="0" w:line="240" w:lineRule="auto"/>
      </w:pPr>
      <w:r>
        <w:separator/>
      </w:r>
    </w:p>
  </w:footnote>
  <w:footnote w:type="continuationSeparator" w:id="0">
    <w:p w:rsidR="001D5681" w:rsidRDefault="00782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4D" w:rsidRDefault="00EA4C68">
    <w:pPr>
      <w:pStyle w:val="Header"/>
    </w:pPr>
    <w:r>
      <w:t>NORTH HERTFORDSHIRE DISTRICT COUNCIL LOCAL PLAN EXAMINATION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2FC"/>
    <w:multiLevelType w:val="hybridMultilevel"/>
    <w:tmpl w:val="B6741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A6FEE"/>
    <w:multiLevelType w:val="hybridMultilevel"/>
    <w:tmpl w:val="DFE85F7C"/>
    <w:lvl w:ilvl="0" w:tplc="445833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BC1F19"/>
    <w:multiLevelType w:val="hybridMultilevel"/>
    <w:tmpl w:val="6FF4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643E87"/>
    <w:multiLevelType w:val="hybridMultilevel"/>
    <w:tmpl w:val="9DE4BFC0"/>
    <w:lvl w:ilvl="0" w:tplc="D84C86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03215D"/>
    <w:multiLevelType w:val="hybridMultilevel"/>
    <w:tmpl w:val="407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208B2"/>
    <w:multiLevelType w:val="hybridMultilevel"/>
    <w:tmpl w:val="708E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624EB"/>
    <w:multiLevelType w:val="hybridMultilevel"/>
    <w:tmpl w:val="2B14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E64E5D"/>
    <w:multiLevelType w:val="hybridMultilevel"/>
    <w:tmpl w:val="22C07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7208AB"/>
    <w:multiLevelType w:val="hybridMultilevel"/>
    <w:tmpl w:val="018C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9E3C6E"/>
    <w:multiLevelType w:val="hybridMultilevel"/>
    <w:tmpl w:val="0F56B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33C4A"/>
    <w:multiLevelType w:val="hybridMultilevel"/>
    <w:tmpl w:val="9A843EB6"/>
    <w:lvl w:ilvl="0" w:tplc="E50A58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EE23A7"/>
    <w:multiLevelType w:val="hybridMultilevel"/>
    <w:tmpl w:val="35427E56"/>
    <w:lvl w:ilvl="0" w:tplc="AA3E80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9D45D7"/>
    <w:multiLevelType w:val="hybridMultilevel"/>
    <w:tmpl w:val="08AE6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4C031E"/>
    <w:multiLevelType w:val="hybridMultilevel"/>
    <w:tmpl w:val="7D72F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DD105C"/>
    <w:multiLevelType w:val="hybridMultilevel"/>
    <w:tmpl w:val="9032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B059B6"/>
    <w:multiLevelType w:val="hybridMultilevel"/>
    <w:tmpl w:val="E748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026CF2"/>
    <w:multiLevelType w:val="hybridMultilevel"/>
    <w:tmpl w:val="AFB89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8E5AFD"/>
    <w:multiLevelType w:val="hybridMultilevel"/>
    <w:tmpl w:val="EE141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0311F5F"/>
    <w:multiLevelType w:val="hybridMultilevel"/>
    <w:tmpl w:val="55562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7BD473B"/>
    <w:multiLevelType w:val="hybridMultilevel"/>
    <w:tmpl w:val="F8F2E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8B37A3"/>
    <w:multiLevelType w:val="hybridMultilevel"/>
    <w:tmpl w:val="5E96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C00273"/>
    <w:multiLevelType w:val="hybridMultilevel"/>
    <w:tmpl w:val="4EC09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08F208D"/>
    <w:multiLevelType w:val="hybridMultilevel"/>
    <w:tmpl w:val="048A8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694CCF"/>
    <w:multiLevelType w:val="hybridMultilevel"/>
    <w:tmpl w:val="9BF2305A"/>
    <w:lvl w:ilvl="0" w:tplc="0C2C50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1C2287"/>
    <w:multiLevelType w:val="hybridMultilevel"/>
    <w:tmpl w:val="A7144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2A51861"/>
    <w:multiLevelType w:val="hybridMultilevel"/>
    <w:tmpl w:val="E63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F1788B"/>
    <w:multiLevelType w:val="hybridMultilevel"/>
    <w:tmpl w:val="6474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270909"/>
    <w:multiLevelType w:val="hybridMultilevel"/>
    <w:tmpl w:val="4CA0FCB4"/>
    <w:lvl w:ilvl="0" w:tplc="164A98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7B5536F"/>
    <w:multiLevelType w:val="hybridMultilevel"/>
    <w:tmpl w:val="2F10B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4B2BED"/>
    <w:multiLevelType w:val="hybridMultilevel"/>
    <w:tmpl w:val="C57A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B0115B"/>
    <w:multiLevelType w:val="hybridMultilevel"/>
    <w:tmpl w:val="21C03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A032240"/>
    <w:multiLevelType w:val="hybridMultilevel"/>
    <w:tmpl w:val="6608E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E9620B"/>
    <w:multiLevelType w:val="hybridMultilevel"/>
    <w:tmpl w:val="3208A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6"/>
  </w:num>
  <w:num w:numId="4">
    <w:abstractNumId w:val="21"/>
  </w:num>
  <w:num w:numId="5">
    <w:abstractNumId w:val="17"/>
  </w:num>
  <w:num w:numId="6">
    <w:abstractNumId w:val="20"/>
  </w:num>
  <w:num w:numId="7">
    <w:abstractNumId w:val="29"/>
  </w:num>
  <w:num w:numId="8">
    <w:abstractNumId w:val="32"/>
  </w:num>
  <w:num w:numId="9">
    <w:abstractNumId w:val="31"/>
  </w:num>
  <w:num w:numId="10">
    <w:abstractNumId w:val="8"/>
  </w:num>
  <w:num w:numId="11">
    <w:abstractNumId w:val="4"/>
  </w:num>
  <w:num w:numId="12">
    <w:abstractNumId w:val="18"/>
  </w:num>
  <w:num w:numId="13">
    <w:abstractNumId w:val="24"/>
  </w:num>
  <w:num w:numId="14">
    <w:abstractNumId w:val="22"/>
  </w:num>
  <w:num w:numId="15">
    <w:abstractNumId w:val="3"/>
  </w:num>
  <w:num w:numId="16">
    <w:abstractNumId w:val="30"/>
  </w:num>
  <w:num w:numId="17">
    <w:abstractNumId w:val="28"/>
  </w:num>
  <w:num w:numId="18">
    <w:abstractNumId w:val="0"/>
  </w:num>
  <w:num w:numId="19">
    <w:abstractNumId w:val="6"/>
  </w:num>
  <w:num w:numId="20">
    <w:abstractNumId w:val="12"/>
  </w:num>
  <w:num w:numId="21">
    <w:abstractNumId w:val="25"/>
  </w:num>
  <w:num w:numId="22">
    <w:abstractNumId w:val="19"/>
  </w:num>
  <w:num w:numId="23">
    <w:abstractNumId w:val="9"/>
  </w:num>
  <w:num w:numId="24">
    <w:abstractNumId w:val="13"/>
  </w:num>
  <w:num w:numId="25">
    <w:abstractNumId w:val="15"/>
  </w:num>
  <w:num w:numId="26">
    <w:abstractNumId w:val="14"/>
  </w:num>
  <w:num w:numId="27">
    <w:abstractNumId w:val="2"/>
  </w:num>
  <w:num w:numId="28">
    <w:abstractNumId w:val="16"/>
  </w:num>
  <w:num w:numId="29">
    <w:abstractNumId w:val="23"/>
  </w:num>
  <w:num w:numId="30">
    <w:abstractNumId w:val="27"/>
  </w:num>
  <w:num w:numId="31">
    <w:abstractNumId w:val="11"/>
  </w:num>
  <w:num w:numId="32">
    <w:abstractNumId w:val="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EC"/>
    <w:rsid w:val="000231A5"/>
    <w:rsid w:val="00032329"/>
    <w:rsid w:val="00041BF6"/>
    <w:rsid w:val="00057C10"/>
    <w:rsid w:val="00061617"/>
    <w:rsid w:val="000742D3"/>
    <w:rsid w:val="00080387"/>
    <w:rsid w:val="00082B69"/>
    <w:rsid w:val="00091326"/>
    <w:rsid w:val="000C0BFE"/>
    <w:rsid w:val="000C5FD2"/>
    <w:rsid w:val="000F0C9D"/>
    <w:rsid w:val="000F1125"/>
    <w:rsid w:val="00117DF4"/>
    <w:rsid w:val="00120A9A"/>
    <w:rsid w:val="00143B03"/>
    <w:rsid w:val="00193CBA"/>
    <w:rsid w:val="001B6EBC"/>
    <w:rsid w:val="001C7020"/>
    <w:rsid w:val="001D5681"/>
    <w:rsid w:val="001F1E4C"/>
    <w:rsid w:val="00201524"/>
    <w:rsid w:val="002030B1"/>
    <w:rsid w:val="002135F0"/>
    <w:rsid w:val="0022757E"/>
    <w:rsid w:val="00227915"/>
    <w:rsid w:val="002410EC"/>
    <w:rsid w:val="00264F2A"/>
    <w:rsid w:val="00274049"/>
    <w:rsid w:val="0027778E"/>
    <w:rsid w:val="0029226B"/>
    <w:rsid w:val="002C5011"/>
    <w:rsid w:val="002C7392"/>
    <w:rsid w:val="002E291B"/>
    <w:rsid w:val="002E71E7"/>
    <w:rsid w:val="00302EA7"/>
    <w:rsid w:val="003223FA"/>
    <w:rsid w:val="00331397"/>
    <w:rsid w:val="00343192"/>
    <w:rsid w:val="00343E17"/>
    <w:rsid w:val="0039481B"/>
    <w:rsid w:val="003A7936"/>
    <w:rsid w:val="003B470C"/>
    <w:rsid w:val="003E340D"/>
    <w:rsid w:val="003F0931"/>
    <w:rsid w:val="004206E5"/>
    <w:rsid w:val="004452F9"/>
    <w:rsid w:val="004479A8"/>
    <w:rsid w:val="0045593D"/>
    <w:rsid w:val="00480730"/>
    <w:rsid w:val="004857AD"/>
    <w:rsid w:val="004936A7"/>
    <w:rsid w:val="00497B37"/>
    <w:rsid w:val="004A656C"/>
    <w:rsid w:val="004C3127"/>
    <w:rsid w:val="004C6BA3"/>
    <w:rsid w:val="004E34F1"/>
    <w:rsid w:val="004E6D98"/>
    <w:rsid w:val="00517FE4"/>
    <w:rsid w:val="005264D9"/>
    <w:rsid w:val="005543A3"/>
    <w:rsid w:val="00556C4B"/>
    <w:rsid w:val="00570D6C"/>
    <w:rsid w:val="0059393B"/>
    <w:rsid w:val="00593B82"/>
    <w:rsid w:val="00595B7F"/>
    <w:rsid w:val="00597683"/>
    <w:rsid w:val="005A275D"/>
    <w:rsid w:val="005C3BD6"/>
    <w:rsid w:val="005C583A"/>
    <w:rsid w:val="005C6389"/>
    <w:rsid w:val="005D53D5"/>
    <w:rsid w:val="005D5911"/>
    <w:rsid w:val="005D7A9A"/>
    <w:rsid w:val="005F0A18"/>
    <w:rsid w:val="005F1031"/>
    <w:rsid w:val="0060005A"/>
    <w:rsid w:val="00604C44"/>
    <w:rsid w:val="00620014"/>
    <w:rsid w:val="006367FB"/>
    <w:rsid w:val="00647684"/>
    <w:rsid w:val="006558D2"/>
    <w:rsid w:val="00656FEA"/>
    <w:rsid w:val="006604CC"/>
    <w:rsid w:val="006608C7"/>
    <w:rsid w:val="00665831"/>
    <w:rsid w:val="0067695F"/>
    <w:rsid w:val="00680D7E"/>
    <w:rsid w:val="006A299C"/>
    <w:rsid w:val="006C3F0E"/>
    <w:rsid w:val="00705FD0"/>
    <w:rsid w:val="007237DF"/>
    <w:rsid w:val="007306ED"/>
    <w:rsid w:val="00730C31"/>
    <w:rsid w:val="0074211D"/>
    <w:rsid w:val="00747323"/>
    <w:rsid w:val="00782B56"/>
    <w:rsid w:val="007846D0"/>
    <w:rsid w:val="00795D70"/>
    <w:rsid w:val="007A0D85"/>
    <w:rsid w:val="007C5C4E"/>
    <w:rsid w:val="007C75EA"/>
    <w:rsid w:val="007C7A9F"/>
    <w:rsid w:val="00806FFF"/>
    <w:rsid w:val="008131F8"/>
    <w:rsid w:val="008304BA"/>
    <w:rsid w:val="00835810"/>
    <w:rsid w:val="00892CC7"/>
    <w:rsid w:val="008B3415"/>
    <w:rsid w:val="008C066C"/>
    <w:rsid w:val="008D7CF1"/>
    <w:rsid w:val="00903390"/>
    <w:rsid w:val="00925114"/>
    <w:rsid w:val="00941633"/>
    <w:rsid w:val="0096247C"/>
    <w:rsid w:val="00982AD0"/>
    <w:rsid w:val="00987F49"/>
    <w:rsid w:val="00995676"/>
    <w:rsid w:val="009D42A5"/>
    <w:rsid w:val="009E10E1"/>
    <w:rsid w:val="009E3291"/>
    <w:rsid w:val="009E3A92"/>
    <w:rsid w:val="00A14642"/>
    <w:rsid w:val="00A16597"/>
    <w:rsid w:val="00A23FA1"/>
    <w:rsid w:val="00A3173B"/>
    <w:rsid w:val="00A36B93"/>
    <w:rsid w:val="00A424CC"/>
    <w:rsid w:val="00A563A4"/>
    <w:rsid w:val="00A64EAE"/>
    <w:rsid w:val="00A950A8"/>
    <w:rsid w:val="00A95B74"/>
    <w:rsid w:val="00A97C81"/>
    <w:rsid w:val="00AA259D"/>
    <w:rsid w:val="00AC6C03"/>
    <w:rsid w:val="00AC78ED"/>
    <w:rsid w:val="00AE2D95"/>
    <w:rsid w:val="00AE7D28"/>
    <w:rsid w:val="00B001BA"/>
    <w:rsid w:val="00B16EB2"/>
    <w:rsid w:val="00B30719"/>
    <w:rsid w:val="00B61269"/>
    <w:rsid w:val="00B61F25"/>
    <w:rsid w:val="00B67E87"/>
    <w:rsid w:val="00BA04B6"/>
    <w:rsid w:val="00BA5DD2"/>
    <w:rsid w:val="00BC562C"/>
    <w:rsid w:val="00BD1012"/>
    <w:rsid w:val="00BD4EF5"/>
    <w:rsid w:val="00C11471"/>
    <w:rsid w:val="00C17424"/>
    <w:rsid w:val="00C17E0D"/>
    <w:rsid w:val="00C50B91"/>
    <w:rsid w:val="00C56EBD"/>
    <w:rsid w:val="00CA37BE"/>
    <w:rsid w:val="00CA5DB9"/>
    <w:rsid w:val="00CC5337"/>
    <w:rsid w:val="00CE0AC9"/>
    <w:rsid w:val="00D164C6"/>
    <w:rsid w:val="00D17996"/>
    <w:rsid w:val="00D20EF9"/>
    <w:rsid w:val="00D34713"/>
    <w:rsid w:val="00D67017"/>
    <w:rsid w:val="00D76BD1"/>
    <w:rsid w:val="00D76E0C"/>
    <w:rsid w:val="00D851F3"/>
    <w:rsid w:val="00DA5F5F"/>
    <w:rsid w:val="00DB3274"/>
    <w:rsid w:val="00DC3341"/>
    <w:rsid w:val="00DC7FCD"/>
    <w:rsid w:val="00DD12BF"/>
    <w:rsid w:val="00DD69A2"/>
    <w:rsid w:val="00DE158B"/>
    <w:rsid w:val="00DE18D5"/>
    <w:rsid w:val="00DE49E9"/>
    <w:rsid w:val="00E032E8"/>
    <w:rsid w:val="00E27DCF"/>
    <w:rsid w:val="00E35C8A"/>
    <w:rsid w:val="00E80C4F"/>
    <w:rsid w:val="00E87081"/>
    <w:rsid w:val="00EA4C68"/>
    <w:rsid w:val="00EB63B2"/>
    <w:rsid w:val="00EC51CD"/>
    <w:rsid w:val="00ED3B53"/>
    <w:rsid w:val="00ED67F7"/>
    <w:rsid w:val="00EF0571"/>
    <w:rsid w:val="00EF0C1E"/>
    <w:rsid w:val="00EF5977"/>
    <w:rsid w:val="00F04CB1"/>
    <w:rsid w:val="00F154B6"/>
    <w:rsid w:val="00F2753F"/>
    <w:rsid w:val="00F30FB4"/>
    <w:rsid w:val="00F34DAC"/>
    <w:rsid w:val="00F470AA"/>
    <w:rsid w:val="00FA2BA4"/>
    <w:rsid w:val="00FA4461"/>
    <w:rsid w:val="00FA6C94"/>
    <w:rsid w:val="00FB5204"/>
    <w:rsid w:val="00FD799F"/>
    <w:rsid w:val="00FF2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EC"/>
  </w:style>
  <w:style w:type="paragraph" w:styleId="Footer">
    <w:name w:val="footer"/>
    <w:basedOn w:val="Normal"/>
    <w:link w:val="FooterChar"/>
    <w:uiPriority w:val="99"/>
    <w:unhideWhenUsed/>
    <w:rsid w:val="00241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EC"/>
  </w:style>
  <w:style w:type="paragraph" w:styleId="ListParagraph">
    <w:name w:val="List Paragraph"/>
    <w:basedOn w:val="Normal"/>
    <w:uiPriority w:val="34"/>
    <w:qFormat/>
    <w:rsid w:val="002410EC"/>
    <w:pPr>
      <w:ind w:left="720"/>
      <w:contextualSpacing/>
    </w:pPr>
  </w:style>
  <w:style w:type="table" w:styleId="TableGrid">
    <w:name w:val="Table Grid"/>
    <w:basedOn w:val="TableNormal"/>
    <w:uiPriority w:val="39"/>
    <w:rsid w:val="0024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18"/>
    <w:rPr>
      <w:rFonts w:ascii="Segoe UI" w:hAnsi="Segoe UI" w:cs="Segoe UI"/>
      <w:sz w:val="18"/>
      <w:szCs w:val="18"/>
    </w:rPr>
  </w:style>
  <w:style w:type="character" w:styleId="Hyperlink">
    <w:name w:val="Hyperlink"/>
    <w:basedOn w:val="DefaultParagraphFont"/>
    <w:uiPriority w:val="99"/>
    <w:unhideWhenUsed/>
    <w:rsid w:val="006C3F0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EC"/>
  </w:style>
  <w:style w:type="paragraph" w:styleId="Footer">
    <w:name w:val="footer"/>
    <w:basedOn w:val="Normal"/>
    <w:link w:val="FooterChar"/>
    <w:uiPriority w:val="99"/>
    <w:unhideWhenUsed/>
    <w:rsid w:val="002410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0EC"/>
  </w:style>
  <w:style w:type="paragraph" w:styleId="ListParagraph">
    <w:name w:val="List Paragraph"/>
    <w:basedOn w:val="Normal"/>
    <w:uiPriority w:val="34"/>
    <w:qFormat/>
    <w:rsid w:val="002410EC"/>
    <w:pPr>
      <w:ind w:left="720"/>
      <w:contextualSpacing/>
    </w:pPr>
  </w:style>
  <w:style w:type="table" w:styleId="TableGrid">
    <w:name w:val="Table Grid"/>
    <w:basedOn w:val="TableNormal"/>
    <w:uiPriority w:val="39"/>
    <w:rsid w:val="00241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F0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A18"/>
    <w:rPr>
      <w:rFonts w:ascii="Segoe UI" w:hAnsi="Segoe UI" w:cs="Segoe UI"/>
      <w:sz w:val="18"/>
      <w:szCs w:val="18"/>
    </w:rPr>
  </w:style>
  <w:style w:type="character" w:styleId="Hyperlink">
    <w:name w:val="Hyperlink"/>
    <w:basedOn w:val="DefaultParagraphFont"/>
    <w:uiPriority w:val="99"/>
    <w:unhideWhenUsed/>
    <w:rsid w:val="006C3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herts.gov.uk/files/ord10-central-bedfordshire-pre-submission-local-pla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Advanced 365</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Daly</dc:creator>
  <cp:lastModifiedBy>Tina Lilley</cp:lastModifiedBy>
  <cp:revision>2</cp:revision>
  <dcterms:created xsi:type="dcterms:W3CDTF">2018-03-15T10:40:00Z</dcterms:created>
  <dcterms:modified xsi:type="dcterms:W3CDTF">2018-03-15T10:40:00Z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-1782829707</vt:i4>
  </property>
</Properties>
</file>