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20DC" w14:textId="77777777" w:rsidR="005D0FFA" w:rsidRDefault="008E4E81" w:rsidP="005D0FFA">
      <w:pPr>
        <w:spacing w:line="360" w:lineRule="auto"/>
        <w:ind w:left="-141" w:hanging="143"/>
      </w:pPr>
      <w:r w:rsidRPr="00463139">
        <w:rPr>
          <w:noProof/>
        </w:rPr>
        <w:drawing>
          <wp:inline distT="0" distB="0" distL="0" distR="0" wp14:anchorId="4BA2969D" wp14:editId="08679AFA">
            <wp:extent cx="889000" cy="612644"/>
            <wp:effectExtent l="0" t="0" r="635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13414" t="19043" r="15880" b="13744"/>
                    <a:stretch/>
                  </pic:blipFill>
                  <pic:spPr bwMode="auto">
                    <a:xfrm>
                      <a:off x="0" y="0"/>
                      <a:ext cx="895888" cy="617391"/>
                    </a:xfrm>
                    <a:prstGeom prst="rect">
                      <a:avLst/>
                    </a:prstGeom>
                    <a:ln>
                      <a:noFill/>
                    </a:ln>
                    <a:extLst>
                      <a:ext uri="{53640926-AAD7-44D8-BBD7-CCE9431645EC}">
                        <a14:shadowObscured xmlns:a14="http://schemas.microsoft.com/office/drawing/2010/main"/>
                      </a:ext>
                    </a:extLst>
                  </pic:spPr>
                </pic:pic>
              </a:graphicData>
            </a:graphic>
          </wp:inline>
        </w:drawing>
      </w:r>
    </w:p>
    <w:p w14:paraId="28D7B4C3" w14:textId="52FB9F70" w:rsidR="008E4E81" w:rsidRPr="008969DA" w:rsidRDefault="005D0FFA" w:rsidP="005D0FFA">
      <w:pPr>
        <w:spacing w:line="360" w:lineRule="auto"/>
        <w:ind w:left="-141" w:hanging="143"/>
        <w:jc w:val="center"/>
        <w:rPr>
          <w:b/>
          <w:bCs/>
        </w:rPr>
      </w:pPr>
      <w:r w:rsidRPr="008969DA">
        <w:rPr>
          <w:b/>
          <w:bCs/>
        </w:rPr>
        <w:t xml:space="preserve">Further </w:t>
      </w:r>
      <w:r w:rsidR="00ED45D0" w:rsidRPr="008969DA">
        <w:rPr>
          <w:b/>
          <w:bCs/>
        </w:rPr>
        <w:t>Information</w:t>
      </w:r>
      <w:r w:rsidRPr="008969DA">
        <w:rPr>
          <w:b/>
          <w:bCs/>
        </w:rPr>
        <w:t xml:space="preserve"> on Article 4 Directions</w:t>
      </w:r>
    </w:p>
    <w:p w14:paraId="3A6DCB44" w14:textId="6131CC9D" w:rsidR="00193E2F" w:rsidRPr="008969DA" w:rsidRDefault="008C22C7" w:rsidP="005D0FFA">
      <w:pPr>
        <w:ind w:left="-142"/>
        <w:jc w:val="both"/>
        <w:rPr>
          <w:b/>
          <w:bCs/>
        </w:rPr>
      </w:pPr>
      <w:r w:rsidRPr="008969DA">
        <w:rPr>
          <w:b/>
          <w:bCs/>
        </w:rPr>
        <w:tab/>
      </w:r>
      <w:r w:rsidRPr="008969DA">
        <w:rPr>
          <w:b/>
          <w:bCs/>
        </w:rPr>
        <w:tab/>
      </w:r>
      <w:r w:rsidRPr="008969DA">
        <w:rPr>
          <w:b/>
          <w:bCs/>
        </w:rPr>
        <w:tab/>
      </w:r>
    </w:p>
    <w:p w14:paraId="4E837B86" w14:textId="6CBF4B72" w:rsidR="005D0FFA" w:rsidRPr="008969DA" w:rsidRDefault="005D0FFA" w:rsidP="005D0FFA">
      <w:pPr>
        <w:jc w:val="both"/>
        <w:rPr>
          <w:b/>
          <w:bCs/>
        </w:rPr>
      </w:pPr>
      <w:r w:rsidRPr="008969DA">
        <w:rPr>
          <w:b/>
          <w:bCs/>
        </w:rPr>
        <w:t xml:space="preserve">What </w:t>
      </w:r>
      <w:r w:rsidR="0008385A">
        <w:rPr>
          <w:b/>
          <w:bCs/>
        </w:rPr>
        <w:t>is an</w:t>
      </w:r>
      <w:r w:rsidRPr="008969DA">
        <w:rPr>
          <w:b/>
          <w:bCs/>
        </w:rPr>
        <w:t xml:space="preserve"> Article 4 Direction?</w:t>
      </w:r>
    </w:p>
    <w:p w14:paraId="2BF28F25" w14:textId="110AC40E" w:rsidR="005D0FFA" w:rsidRDefault="0008385A" w:rsidP="005D0FFA">
      <w:pPr>
        <w:jc w:val="both"/>
      </w:pPr>
      <w:r>
        <w:t xml:space="preserve">An </w:t>
      </w:r>
      <w:r w:rsidR="008969DA">
        <w:t xml:space="preserve">Article 4 Direction </w:t>
      </w:r>
      <w:r>
        <w:t>is</w:t>
      </w:r>
      <w:r w:rsidR="008969DA">
        <w:t xml:space="preserve"> a tool made by local planning authorities </w:t>
      </w:r>
      <w:r w:rsidR="008F3E9C">
        <w:t>to withdraw permitted development rights.</w:t>
      </w:r>
      <w:r w:rsidR="003135B6">
        <w:t xml:space="preserve"> </w:t>
      </w:r>
    </w:p>
    <w:p w14:paraId="136BA56B" w14:textId="77777777" w:rsidR="00522662" w:rsidRDefault="00522662" w:rsidP="005D0FFA">
      <w:pPr>
        <w:jc w:val="both"/>
        <w:rPr>
          <w:b/>
          <w:bCs/>
        </w:rPr>
      </w:pPr>
    </w:p>
    <w:p w14:paraId="6EDB5594" w14:textId="4FEB5D6B" w:rsidR="005D0FFA" w:rsidRPr="008969DA" w:rsidRDefault="005D0FFA" w:rsidP="005D0FFA">
      <w:pPr>
        <w:jc w:val="both"/>
        <w:rPr>
          <w:b/>
          <w:bCs/>
        </w:rPr>
      </w:pPr>
      <w:r w:rsidRPr="008969DA">
        <w:rPr>
          <w:b/>
          <w:bCs/>
        </w:rPr>
        <w:t>What will the Article 4 Directions do?</w:t>
      </w:r>
    </w:p>
    <w:p w14:paraId="16805899" w14:textId="4DE56D94" w:rsidR="005D0FFA" w:rsidRDefault="008969DA" w:rsidP="005D0FFA">
      <w:pPr>
        <w:jc w:val="both"/>
      </w:pPr>
      <w:r w:rsidRPr="008969DA">
        <w:t xml:space="preserve">Four new Article 4 Directions have been made. </w:t>
      </w:r>
      <w:r w:rsidR="00AA2DF7">
        <w:t xml:space="preserve">These are located in Baldock, Hitchin, Letchworth Garden City and Royston. The new Article 4 Directions </w:t>
      </w:r>
      <w:r>
        <w:t>relate to change of use of Class E</w:t>
      </w:r>
      <w:r>
        <w:rPr>
          <w:rStyle w:val="FootnoteReference"/>
        </w:rPr>
        <w:footnoteReference w:id="1"/>
      </w:r>
      <w:r>
        <w:t xml:space="preserve"> to </w:t>
      </w:r>
      <w:r w:rsidR="00522662">
        <w:t xml:space="preserve">residential dwellings (Use Class </w:t>
      </w:r>
      <w:r>
        <w:t>C3</w:t>
      </w:r>
      <w:r w:rsidR="00522662">
        <w:t>).</w:t>
      </w:r>
      <w:r w:rsidR="00AA2DF7">
        <w:t xml:space="preserve"> The new Article 4 Direction now requires occupiers and land owners to apply for planning permission if they would like to convert the property into residential housing.</w:t>
      </w:r>
    </w:p>
    <w:p w14:paraId="75A9ADA4" w14:textId="77777777" w:rsidR="00AA2DF7" w:rsidRDefault="00AA2DF7" w:rsidP="005D0FFA">
      <w:pPr>
        <w:jc w:val="both"/>
      </w:pPr>
    </w:p>
    <w:p w14:paraId="357A8878" w14:textId="47FB9383" w:rsidR="005D0FFA" w:rsidRPr="008969DA" w:rsidRDefault="005D0FFA" w:rsidP="005D0FFA">
      <w:pPr>
        <w:jc w:val="both"/>
        <w:rPr>
          <w:b/>
          <w:bCs/>
        </w:rPr>
      </w:pPr>
      <w:r w:rsidRPr="008969DA">
        <w:rPr>
          <w:b/>
          <w:bCs/>
        </w:rPr>
        <w:t xml:space="preserve">Why are Article 4 Directions required? </w:t>
      </w:r>
    </w:p>
    <w:p w14:paraId="1956F3F7" w14:textId="469224D9" w:rsidR="005D0FFA" w:rsidRDefault="00AA2DF7" w:rsidP="005D0FFA">
      <w:pPr>
        <w:jc w:val="both"/>
      </w:pPr>
      <w:r>
        <w:t xml:space="preserve">Under new Government rules, </w:t>
      </w:r>
      <w:r w:rsidR="008F3E9C" w:rsidRPr="008F3E9C">
        <w:t>legislation to allow for a range of employment uses</w:t>
      </w:r>
      <w:r w:rsidR="00522662">
        <w:t xml:space="preserve"> (Use Class E)</w:t>
      </w:r>
      <w:r w:rsidR="008F3E9C" w:rsidRPr="008F3E9C">
        <w:t xml:space="preserve"> to be turned into housing without the need for planning permission. </w:t>
      </w:r>
    </w:p>
    <w:p w14:paraId="05D832B3" w14:textId="1865A754" w:rsidR="008F3E9C" w:rsidRDefault="008F3E9C" w:rsidP="005D0FFA">
      <w:pPr>
        <w:jc w:val="both"/>
      </w:pPr>
      <w:r>
        <w:t xml:space="preserve">This has the potential to lead to a significant loss of key retail, commercial and leisure facilities in </w:t>
      </w:r>
      <w:r w:rsidR="00D82981">
        <w:t xml:space="preserve">our </w:t>
      </w:r>
      <w:r>
        <w:t xml:space="preserve">District. As demonstrated through the Local Plan process, evidence has shown that there is already a shortfall of retail, commercial and leisure floorspace in </w:t>
      </w:r>
      <w:r w:rsidR="00D82981">
        <w:t xml:space="preserve">our </w:t>
      </w:r>
      <w:r>
        <w:t xml:space="preserve">District against </w:t>
      </w:r>
      <w:r w:rsidR="00D82981">
        <w:t xml:space="preserve">our </w:t>
      </w:r>
      <w:r>
        <w:t xml:space="preserve">identified need. </w:t>
      </w:r>
      <w:r w:rsidR="00522662">
        <w:t xml:space="preserve">It is important </w:t>
      </w:r>
      <w:r>
        <w:t xml:space="preserve">that we protect all </w:t>
      </w:r>
      <w:r w:rsidR="00D82981">
        <w:t xml:space="preserve">our </w:t>
      </w:r>
      <w:r>
        <w:t xml:space="preserve">existing retail, commercial and leisure units in </w:t>
      </w:r>
      <w:r w:rsidR="00D82981">
        <w:t>our</w:t>
      </w:r>
      <w:r>
        <w:t xml:space="preserve"> town centres. </w:t>
      </w:r>
    </w:p>
    <w:p w14:paraId="6FE126F6" w14:textId="0ED0EF13" w:rsidR="00434F18" w:rsidRDefault="00434F18" w:rsidP="00434F18">
      <w:pPr>
        <w:jc w:val="both"/>
      </w:pPr>
      <w:r>
        <w:t>In addition to this, t</w:t>
      </w:r>
      <w:r w:rsidRPr="00434F18">
        <w:t xml:space="preserve">he emerging Local Plan identifies sufficient sites to ensure </w:t>
      </w:r>
      <w:r w:rsidR="00D82981">
        <w:t>our</w:t>
      </w:r>
      <w:r w:rsidR="00D82981" w:rsidRPr="00434F18">
        <w:t xml:space="preserve"> </w:t>
      </w:r>
      <w:r w:rsidRPr="00434F18">
        <w:t xml:space="preserve">District’s housing needs are met in full. Therefore, there is no specific need to rely upon any additional housing from Use Class E conversions which would result in the loss of Use Class E floorspace.  </w:t>
      </w:r>
    </w:p>
    <w:p w14:paraId="5BA1D905" w14:textId="027AA208" w:rsidR="00434F18" w:rsidRPr="00434F18" w:rsidRDefault="00434F18" w:rsidP="00434F18">
      <w:pPr>
        <w:jc w:val="both"/>
        <w:rPr>
          <w:iCs/>
        </w:rPr>
      </w:pPr>
      <w:r>
        <w:t xml:space="preserve">The Article 4 Directions will ensure that all proposals for change of use to residential are passed through the planning system and assessed against current planning policies. </w:t>
      </w:r>
    </w:p>
    <w:p w14:paraId="44083988" w14:textId="23B5C1A8" w:rsidR="008F3E9C" w:rsidRDefault="008F3E9C" w:rsidP="005D0FFA">
      <w:pPr>
        <w:jc w:val="both"/>
        <w:rPr>
          <w:b/>
          <w:bCs/>
        </w:rPr>
      </w:pPr>
    </w:p>
    <w:p w14:paraId="0ED2FDF6" w14:textId="77777777" w:rsidR="00522662" w:rsidRPr="008969DA" w:rsidRDefault="00522662" w:rsidP="005D0FFA">
      <w:pPr>
        <w:jc w:val="both"/>
        <w:rPr>
          <w:b/>
          <w:bCs/>
        </w:rPr>
      </w:pPr>
    </w:p>
    <w:p w14:paraId="42A655A8" w14:textId="35A6AC14" w:rsidR="005D0FFA" w:rsidRDefault="005D0FFA" w:rsidP="005D0FFA">
      <w:pPr>
        <w:jc w:val="both"/>
        <w:rPr>
          <w:b/>
          <w:bCs/>
        </w:rPr>
      </w:pPr>
      <w:r w:rsidRPr="008969DA">
        <w:rPr>
          <w:b/>
          <w:bCs/>
        </w:rPr>
        <w:lastRenderedPageBreak/>
        <w:t>Will this prevent changes of use to residential being carried out?</w:t>
      </w:r>
    </w:p>
    <w:p w14:paraId="56244452" w14:textId="0070702B" w:rsidR="00434F18" w:rsidRPr="00434F18" w:rsidRDefault="00434F18" w:rsidP="005D0FFA">
      <w:pPr>
        <w:jc w:val="both"/>
      </w:pPr>
      <w:r>
        <w:t xml:space="preserve">No. </w:t>
      </w:r>
      <w:r w:rsidR="00D82981">
        <w:t xml:space="preserve">An </w:t>
      </w:r>
      <w:r>
        <w:t>Article 4 Direction only require</w:t>
      </w:r>
      <w:r w:rsidR="00D82981">
        <w:t>s</w:t>
      </w:r>
      <w:r>
        <w:t xml:space="preserve"> planning permission to be sought. It does not automatically allow the Council to refuse change of use applications. Applications for change of use schemes will be assessed against current planning policy.</w:t>
      </w:r>
    </w:p>
    <w:p w14:paraId="658534A7" w14:textId="4241E720" w:rsidR="005D0FFA" w:rsidRPr="008969DA" w:rsidRDefault="005D0FFA" w:rsidP="005D0FFA">
      <w:pPr>
        <w:jc w:val="both"/>
        <w:rPr>
          <w:b/>
          <w:bCs/>
        </w:rPr>
      </w:pPr>
    </w:p>
    <w:p w14:paraId="754C8526" w14:textId="5D4385A3" w:rsidR="005D0FFA" w:rsidRDefault="005D0FFA" w:rsidP="005D0FFA">
      <w:pPr>
        <w:jc w:val="both"/>
        <w:rPr>
          <w:b/>
          <w:bCs/>
        </w:rPr>
      </w:pPr>
      <w:r w:rsidRPr="008969DA">
        <w:rPr>
          <w:b/>
          <w:bCs/>
        </w:rPr>
        <w:t xml:space="preserve">Why have I been notified? </w:t>
      </w:r>
    </w:p>
    <w:p w14:paraId="48F8FEC6" w14:textId="13D53A61" w:rsidR="00522662" w:rsidRDefault="00434F18" w:rsidP="005D0FFA">
      <w:pPr>
        <w:jc w:val="both"/>
      </w:pPr>
      <w:r w:rsidRPr="00434F18">
        <w:t>The regulations relating to Article 4 Directions require local authorities to give formal notice to all land own</w:t>
      </w:r>
      <w:r>
        <w:t>e</w:t>
      </w:r>
      <w:r w:rsidRPr="00434F18">
        <w:t>rs and occupiers within the area which the Article 4 Direction</w:t>
      </w:r>
      <w:r>
        <w:t xml:space="preserve"> </w:t>
      </w:r>
      <w:r w:rsidRPr="00434F18">
        <w:t>relate</w:t>
      </w:r>
      <w:r>
        <w:t>s</w:t>
      </w:r>
      <w:r w:rsidRPr="00434F18">
        <w:t xml:space="preserve"> to. </w:t>
      </w:r>
      <w:r>
        <w:t xml:space="preserve">Notice is given to all land owners and occupiers affected by the Article 4 Direction so that they have the opportunity to provide a representation during the consultation period. If you would like to make a representation please see: </w:t>
      </w:r>
      <w:hyperlink r:id="rId9" w:history="1">
        <w:r w:rsidR="00AA2DF7">
          <w:rPr>
            <w:rStyle w:val="Hyperlink"/>
          </w:rPr>
          <w:t>Article 4 Directions | North Herts Council (north-herts.gov.uk)</w:t>
        </w:r>
      </w:hyperlink>
    </w:p>
    <w:p w14:paraId="6CCA1A6E" w14:textId="77777777" w:rsidR="00522662" w:rsidRDefault="00522662" w:rsidP="005D0FFA">
      <w:pPr>
        <w:jc w:val="both"/>
      </w:pPr>
    </w:p>
    <w:p w14:paraId="244B3685" w14:textId="1352DBE2" w:rsidR="005D0FFA" w:rsidRPr="00522662" w:rsidRDefault="005D0FFA" w:rsidP="005D0FFA">
      <w:pPr>
        <w:jc w:val="both"/>
      </w:pPr>
      <w:r w:rsidRPr="008969DA">
        <w:rPr>
          <w:b/>
          <w:bCs/>
        </w:rPr>
        <w:t>What happens next?</w:t>
      </w:r>
    </w:p>
    <w:p w14:paraId="613F64D0" w14:textId="21429A70" w:rsidR="00434F18" w:rsidRDefault="00434F18" w:rsidP="00522662">
      <w:pPr>
        <w:jc w:val="both"/>
      </w:pPr>
      <w:r>
        <w:t xml:space="preserve">The Article 4 Directions have been made. This means from the </w:t>
      </w:r>
      <w:r w:rsidR="00AB561C">
        <w:t>5</w:t>
      </w:r>
      <w:r>
        <w:t xml:space="preserve"> October 2022, any</w:t>
      </w:r>
      <w:r w:rsidR="00522662">
        <w:t xml:space="preserve"> Use Class E</w:t>
      </w:r>
      <w:r>
        <w:t xml:space="preserve"> properties located within the primary and secondary shopping frontages will require planning permission for change of use to residential. </w:t>
      </w:r>
    </w:p>
    <w:p w14:paraId="211BBB88" w14:textId="0F0CDAC0" w:rsidR="00193E2F" w:rsidRPr="00463139" w:rsidRDefault="00434F18" w:rsidP="00522662">
      <w:pPr>
        <w:jc w:val="both"/>
      </w:pPr>
      <w:r>
        <w:t>A six week consultation period will start from the 10</w:t>
      </w:r>
      <w:r w:rsidR="00827705">
        <w:rPr>
          <w:vertAlign w:val="superscript"/>
        </w:rPr>
        <w:t xml:space="preserve"> </w:t>
      </w:r>
      <w:r>
        <w:t xml:space="preserve">October </w:t>
      </w:r>
      <w:r w:rsidR="00827705">
        <w:t xml:space="preserve">2022 </w:t>
      </w:r>
      <w:r>
        <w:t>which allows for those affected to provide comments on the new Article 4 Direction. Following the consultation period, the responses will be considered and authority will be sought f</w:t>
      </w:r>
      <w:r w:rsidR="0008385A">
        <w:t>rom</w:t>
      </w:r>
      <w:r>
        <w:t xml:space="preserve"> the Executive to confirm the Direct</w:t>
      </w:r>
      <w:r w:rsidR="00AB561C">
        <w:t xml:space="preserve">ion. </w:t>
      </w:r>
    </w:p>
    <w:p w14:paraId="3FF6235A" w14:textId="77777777" w:rsidR="00193E2F" w:rsidRPr="00463139" w:rsidRDefault="00193E2F" w:rsidP="0080583A">
      <w:pPr>
        <w:ind w:left="-142"/>
        <w:jc w:val="both"/>
      </w:pPr>
    </w:p>
    <w:p w14:paraId="60B71074" w14:textId="77777777" w:rsidR="0080583A" w:rsidRPr="00463139" w:rsidRDefault="0080583A" w:rsidP="0080583A">
      <w:pPr>
        <w:ind w:left="-142"/>
        <w:jc w:val="both"/>
      </w:pPr>
    </w:p>
    <w:p w14:paraId="69FF2D65" w14:textId="77777777" w:rsidR="0080583A" w:rsidRPr="00463139" w:rsidRDefault="0080583A" w:rsidP="0080583A">
      <w:pPr>
        <w:ind w:left="-142"/>
        <w:jc w:val="both"/>
      </w:pPr>
    </w:p>
    <w:p w14:paraId="7D7D742C" w14:textId="77777777" w:rsidR="0080583A" w:rsidRPr="00463139" w:rsidRDefault="0080583A" w:rsidP="0080583A">
      <w:pPr>
        <w:ind w:left="-142"/>
        <w:jc w:val="both"/>
      </w:pPr>
    </w:p>
    <w:p w14:paraId="50DEBF2F" w14:textId="77777777" w:rsidR="0080583A" w:rsidRPr="00463139" w:rsidRDefault="0080583A" w:rsidP="0080583A">
      <w:pPr>
        <w:ind w:left="-142"/>
        <w:jc w:val="both"/>
      </w:pPr>
    </w:p>
    <w:p w14:paraId="0C594A04" w14:textId="77777777" w:rsidR="0080583A" w:rsidRPr="00463139" w:rsidRDefault="0080583A" w:rsidP="0080583A">
      <w:pPr>
        <w:ind w:left="-142"/>
        <w:jc w:val="both"/>
      </w:pPr>
    </w:p>
    <w:p w14:paraId="58792A0F" w14:textId="77777777" w:rsidR="0080583A" w:rsidRPr="00463139" w:rsidRDefault="0080583A" w:rsidP="0080583A">
      <w:pPr>
        <w:ind w:left="-142"/>
        <w:jc w:val="both"/>
      </w:pPr>
    </w:p>
    <w:p w14:paraId="3B4F5A8A" w14:textId="77777777" w:rsidR="0080583A" w:rsidRPr="00463139" w:rsidRDefault="0080583A" w:rsidP="0080583A">
      <w:pPr>
        <w:ind w:left="-142"/>
        <w:jc w:val="both"/>
      </w:pPr>
    </w:p>
    <w:p w14:paraId="6E5138D8" w14:textId="77777777" w:rsidR="0080583A" w:rsidRPr="00463139" w:rsidRDefault="0080583A" w:rsidP="0080583A">
      <w:pPr>
        <w:ind w:left="-142"/>
        <w:jc w:val="both"/>
      </w:pPr>
    </w:p>
    <w:p w14:paraId="3CFEB912" w14:textId="77777777" w:rsidR="0080583A" w:rsidRPr="00463139" w:rsidRDefault="0080583A" w:rsidP="0080583A">
      <w:pPr>
        <w:ind w:left="-142"/>
        <w:jc w:val="both"/>
      </w:pPr>
    </w:p>
    <w:p w14:paraId="130EB219" w14:textId="77777777" w:rsidR="0080583A" w:rsidRPr="00463139" w:rsidRDefault="0080583A" w:rsidP="0080583A">
      <w:pPr>
        <w:ind w:left="-142"/>
        <w:jc w:val="both"/>
      </w:pPr>
    </w:p>
    <w:p w14:paraId="35D3124B" w14:textId="77777777" w:rsidR="0080583A" w:rsidRPr="00463139" w:rsidRDefault="0080583A" w:rsidP="0080583A">
      <w:pPr>
        <w:ind w:left="-142"/>
        <w:jc w:val="both"/>
      </w:pPr>
    </w:p>
    <w:p w14:paraId="7D719D56" w14:textId="77777777" w:rsidR="0080583A" w:rsidRPr="00463139" w:rsidRDefault="0080583A" w:rsidP="0080583A">
      <w:pPr>
        <w:ind w:left="-142"/>
        <w:jc w:val="both"/>
      </w:pPr>
    </w:p>
    <w:p w14:paraId="0AADE122" w14:textId="77777777" w:rsidR="0080583A" w:rsidRPr="00463139" w:rsidRDefault="0080583A" w:rsidP="0080583A">
      <w:pPr>
        <w:ind w:left="-142"/>
        <w:jc w:val="both"/>
      </w:pPr>
    </w:p>
    <w:sectPr w:rsidR="0080583A" w:rsidRPr="00463139" w:rsidSect="00FD2B7C">
      <w:footerReference w:type="default" r:id="rId10"/>
      <w:pgSz w:w="11906" w:h="16838"/>
      <w:pgMar w:top="426" w:right="991"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EB50" w14:textId="77777777" w:rsidR="00F46A74" w:rsidRDefault="00F46A74" w:rsidP="008E4E81">
      <w:pPr>
        <w:spacing w:after="0" w:line="240" w:lineRule="auto"/>
      </w:pPr>
      <w:r>
        <w:separator/>
      </w:r>
    </w:p>
  </w:endnote>
  <w:endnote w:type="continuationSeparator" w:id="0">
    <w:p w14:paraId="412CD70F" w14:textId="77777777" w:rsidR="00F46A74" w:rsidRDefault="00F46A74" w:rsidP="008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40" w:type="dxa"/>
      <w:tblInd w:w="-851" w:type="dxa"/>
      <w:tblLook w:val="04A0" w:firstRow="1" w:lastRow="0" w:firstColumn="1" w:lastColumn="0" w:noHBand="0" w:noVBand="1"/>
    </w:tblPr>
    <w:tblGrid>
      <w:gridCol w:w="6947"/>
      <w:gridCol w:w="3993"/>
    </w:tblGrid>
    <w:tr w:rsidR="004061E3" w14:paraId="352F9C3C" w14:textId="77777777" w:rsidTr="001744F3">
      <w:trPr>
        <w:trHeight w:val="985"/>
      </w:trPr>
      <w:tc>
        <w:tcPr>
          <w:tcW w:w="6947" w:type="dxa"/>
          <w:tcBorders>
            <w:top w:val="nil"/>
            <w:left w:val="nil"/>
            <w:bottom w:val="nil"/>
            <w:right w:val="nil"/>
          </w:tcBorders>
        </w:tcPr>
        <w:p w14:paraId="2E384DA9" w14:textId="77777777" w:rsidR="008E4E81" w:rsidRDefault="008E4E81" w:rsidP="008A3287">
          <w:pPr>
            <w:ind w:left="-963" w:right="119" w:firstLine="853"/>
            <w:rPr>
              <w:sz w:val="20"/>
              <w:szCs w:val="20"/>
            </w:rPr>
          </w:pPr>
          <w:r>
            <w:rPr>
              <w:sz w:val="20"/>
              <w:szCs w:val="20"/>
            </w:rPr>
            <w:t xml:space="preserve"> </w:t>
          </w:r>
        </w:p>
        <w:p w14:paraId="41080E2F" w14:textId="77777777" w:rsidR="007D7AB5" w:rsidRPr="007D7AB5" w:rsidRDefault="008E4E81" w:rsidP="00EE6AF8">
          <w:pPr>
            <w:ind w:left="466" w:firstLine="142"/>
            <w:rPr>
              <w:color w:val="592C83"/>
              <w:sz w:val="21"/>
              <w:szCs w:val="21"/>
            </w:rPr>
          </w:pPr>
          <w:r w:rsidRPr="007D7AB5">
            <w:rPr>
              <w:color w:val="592C83"/>
              <w:sz w:val="21"/>
              <w:szCs w:val="21"/>
            </w:rPr>
            <w:t xml:space="preserve">North Herts Council, </w:t>
          </w:r>
          <w:r w:rsidR="007D7AB5" w:rsidRPr="007D7AB5">
            <w:rPr>
              <w:color w:val="592C83"/>
              <w:sz w:val="21"/>
              <w:szCs w:val="21"/>
            </w:rPr>
            <w:t xml:space="preserve">Council Offices, Gernon Road, </w:t>
          </w:r>
        </w:p>
        <w:p w14:paraId="6D14E6FB" w14:textId="77777777" w:rsidR="007D7AB5" w:rsidRPr="007D7AB5" w:rsidRDefault="007D7AB5" w:rsidP="00EE6AF8">
          <w:pPr>
            <w:ind w:left="608"/>
            <w:rPr>
              <w:color w:val="592C83"/>
            </w:rPr>
          </w:pPr>
          <w:r w:rsidRPr="007D7AB5">
            <w:rPr>
              <w:color w:val="592C83"/>
              <w:sz w:val="21"/>
              <w:szCs w:val="21"/>
            </w:rPr>
            <w:t>Letchworth Garden City, Hertfordshire, SG6 3JF</w:t>
          </w:r>
        </w:p>
        <w:p w14:paraId="55EE1714" w14:textId="77777777" w:rsidR="008E4E81" w:rsidRPr="004061E3" w:rsidRDefault="008E4E81" w:rsidP="0080583A">
          <w:pPr>
            <w:ind w:left="464" w:right="119" w:firstLine="142"/>
            <w:rPr>
              <w:sz w:val="21"/>
              <w:szCs w:val="21"/>
            </w:rPr>
          </w:pPr>
        </w:p>
      </w:tc>
      <w:tc>
        <w:tcPr>
          <w:tcW w:w="3993" w:type="dxa"/>
          <w:tcBorders>
            <w:top w:val="nil"/>
            <w:left w:val="nil"/>
            <w:bottom w:val="nil"/>
            <w:right w:val="nil"/>
          </w:tcBorders>
        </w:tcPr>
        <w:p w14:paraId="29F849B0" w14:textId="77777777" w:rsidR="004061E3" w:rsidRDefault="008E4E81" w:rsidP="001744F3">
          <w:pPr>
            <w:ind w:right="119"/>
            <w:rPr>
              <w:sz w:val="20"/>
              <w:szCs w:val="20"/>
            </w:rPr>
          </w:pPr>
          <w:r>
            <w:rPr>
              <w:noProof/>
              <w:sz w:val="20"/>
              <w:szCs w:val="20"/>
            </w:rPr>
            <w:drawing>
              <wp:inline distT="0" distB="0" distL="0" distR="0" wp14:anchorId="7CC81B3C" wp14:editId="23C9BC5E">
                <wp:extent cx="2313544" cy="5208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t="12747" b="-1"/>
                        <a:stretch/>
                      </pic:blipFill>
                      <pic:spPr bwMode="auto">
                        <a:xfrm>
                          <a:off x="0" y="0"/>
                          <a:ext cx="2331094" cy="52478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E898595" w14:textId="77777777" w:rsidR="008E4E81" w:rsidRPr="008E4E81" w:rsidRDefault="008E4E81" w:rsidP="008E4E81">
    <w:pPr>
      <w:ind w:right="119"/>
      <w:rPr>
        <w:sz w:val="20"/>
        <w:szCs w:val="20"/>
      </w:rPr>
    </w:pPr>
    <w:r>
      <w:rPr>
        <w:sz w:val="20"/>
        <w:szCs w:val="20"/>
      </w:rPr>
      <w:tab/>
    </w:r>
  </w:p>
  <w:p w14:paraId="7CD69285" w14:textId="77777777" w:rsidR="008E4E81" w:rsidRPr="008E4E81" w:rsidRDefault="008E4E8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14D3" w14:textId="77777777" w:rsidR="00F46A74" w:rsidRDefault="00F46A74" w:rsidP="008E4E81">
      <w:pPr>
        <w:spacing w:after="0" w:line="240" w:lineRule="auto"/>
      </w:pPr>
      <w:r>
        <w:separator/>
      </w:r>
    </w:p>
  </w:footnote>
  <w:footnote w:type="continuationSeparator" w:id="0">
    <w:p w14:paraId="0F00F2FA" w14:textId="77777777" w:rsidR="00F46A74" w:rsidRDefault="00F46A74" w:rsidP="008E4E81">
      <w:pPr>
        <w:spacing w:after="0" w:line="240" w:lineRule="auto"/>
      </w:pPr>
      <w:r>
        <w:continuationSeparator/>
      </w:r>
    </w:p>
  </w:footnote>
  <w:footnote w:id="1">
    <w:p w14:paraId="3B3D52B6" w14:textId="77777777" w:rsidR="008969DA" w:rsidRPr="00A20936" w:rsidRDefault="008969DA" w:rsidP="008969DA">
      <w:pPr>
        <w:pStyle w:val="FootnoteText"/>
        <w:rPr>
          <w:sz w:val="16"/>
          <w:szCs w:val="16"/>
        </w:rPr>
      </w:pPr>
      <w:r>
        <w:rPr>
          <w:rStyle w:val="FootnoteReference"/>
        </w:rPr>
        <w:footnoteRef/>
      </w:r>
      <w:r>
        <w:t xml:space="preserve"> </w:t>
      </w:r>
      <w:r w:rsidRPr="00A20936">
        <w:rPr>
          <w:sz w:val="16"/>
          <w:szCs w:val="16"/>
        </w:rPr>
        <w:t>E(a) Display or retail sale of goods, other than hot food</w:t>
      </w:r>
    </w:p>
    <w:p w14:paraId="3A9AF353" w14:textId="77777777" w:rsidR="008969DA" w:rsidRPr="00A20936" w:rsidRDefault="008969DA" w:rsidP="008969DA">
      <w:pPr>
        <w:pStyle w:val="FootnoteText"/>
        <w:ind w:firstLine="720"/>
        <w:rPr>
          <w:sz w:val="16"/>
          <w:szCs w:val="16"/>
        </w:rPr>
      </w:pPr>
      <w:r w:rsidRPr="00A20936">
        <w:rPr>
          <w:sz w:val="16"/>
          <w:szCs w:val="16"/>
        </w:rPr>
        <w:t>E(b) Sale of food and drink for consumption (mostly) on the premises</w:t>
      </w:r>
    </w:p>
    <w:p w14:paraId="65757D82" w14:textId="77777777" w:rsidR="008969DA" w:rsidRPr="00A20936" w:rsidRDefault="008969DA" w:rsidP="008969DA">
      <w:pPr>
        <w:pStyle w:val="FootnoteText"/>
        <w:ind w:firstLine="720"/>
        <w:rPr>
          <w:sz w:val="16"/>
          <w:szCs w:val="16"/>
        </w:rPr>
      </w:pPr>
      <w:r w:rsidRPr="00A20936">
        <w:rPr>
          <w:sz w:val="16"/>
          <w:szCs w:val="16"/>
        </w:rPr>
        <w:t>E(c) Provision of:</w:t>
      </w:r>
    </w:p>
    <w:p w14:paraId="675CD391" w14:textId="77777777" w:rsidR="008969DA" w:rsidRPr="00A20936" w:rsidRDefault="008969DA" w:rsidP="008969DA">
      <w:pPr>
        <w:pStyle w:val="FootnoteText"/>
        <w:ind w:left="720" w:firstLine="720"/>
        <w:rPr>
          <w:sz w:val="16"/>
          <w:szCs w:val="16"/>
        </w:rPr>
      </w:pPr>
      <w:r w:rsidRPr="00A20936">
        <w:rPr>
          <w:sz w:val="16"/>
          <w:szCs w:val="16"/>
        </w:rPr>
        <w:t>E(c)(</w:t>
      </w:r>
      <w:proofErr w:type="spellStart"/>
      <w:r w:rsidRPr="00A20936">
        <w:rPr>
          <w:sz w:val="16"/>
          <w:szCs w:val="16"/>
        </w:rPr>
        <w:t>i</w:t>
      </w:r>
      <w:proofErr w:type="spellEnd"/>
      <w:r w:rsidRPr="00A20936">
        <w:rPr>
          <w:sz w:val="16"/>
          <w:szCs w:val="16"/>
        </w:rPr>
        <w:t>) Financial services,</w:t>
      </w:r>
    </w:p>
    <w:p w14:paraId="6F2D5EBB" w14:textId="77777777" w:rsidR="008969DA" w:rsidRPr="00A20936" w:rsidRDefault="008969DA" w:rsidP="008969DA">
      <w:pPr>
        <w:pStyle w:val="FootnoteText"/>
        <w:ind w:left="720" w:firstLine="720"/>
        <w:rPr>
          <w:sz w:val="16"/>
          <w:szCs w:val="16"/>
        </w:rPr>
      </w:pPr>
      <w:r w:rsidRPr="00A20936">
        <w:rPr>
          <w:sz w:val="16"/>
          <w:szCs w:val="16"/>
        </w:rPr>
        <w:t>E(c)(ii) Professional services (other than health or medical services), or</w:t>
      </w:r>
    </w:p>
    <w:p w14:paraId="3A980BD8" w14:textId="77777777" w:rsidR="008969DA" w:rsidRPr="00A20936" w:rsidRDefault="008969DA" w:rsidP="008969DA">
      <w:pPr>
        <w:pStyle w:val="FootnoteText"/>
        <w:ind w:left="720" w:firstLine="720"/>
        <w:rPr>
          <w:sz w:val="16"/>
          <w:szCs w:val="16"/>
        </w:rPr>
      </w:pPr>
      <w:r w:rsidRPr="00A20936">
        <w:rPr>
          <w:sz w:val="16"/>
          <w:szCs w:val="16"/>
        </w:rPr>
        <w:t>E(c)(iii) Other appropriate services in a commercial, business or service locality</w:t>
      </w:r>
    </w:p>
    <w:p w14:paraId="760B2420" w14:textId="77777777" w:rsidR="008969DA" w:rsidRPr="00A20936" w:rsidRDefault="008969DA" w:rsidP="008969DA">
      <w:pPr>
        <w:pStyle w:val="FootnoteText"/>
        <w:ind w:left="720"/>
        <w:rPr>
          <w:sz w:val="16"/>
          <w:szCs w:val="16"/>
        </w:rPr>
      </w:pPr>
      <w:r w:rsidRPr="00A20936">
        <w:rPr>
          <w:sz w:val="16"/>
          <w:szCs w:val="16"/>
        </w:rPr>
        <w:t>E(d) Indoor sport, recreation or fitness (not involving motorised vehicles or firearms or use as a swimming pool or skating rink,)</w:t>
      </w:r>
    </w:p>
    <w:p w14:paraId="2475C47B" w14:textId="77777777" w:rsidR="008969DA" w:rsidRPr="00A20936" w:rsidRDefault="008969DA" w:rsidP="008969DA">
      <w:pPr>
        <w:pStyle w:val="FootnoteText"/>
        <w:ind w:left="720"/>
        <w:rPr>
          <w:sz w:val="16"/>
          <w:szCs w:val="16"/>
        </w:rPr>
      </w:pPr>
      <w:r w:rsidRPr="00A20936">
        <w:rPr>
          <w:sz w:val="16"/>
          <w:szCs w:val="16"/>
        </w:rPr>
        <w:t>E(e) Provision of medical or health services (except the use of premises attached to the residence of the consultant or practitioner)</w:t>
      </w:r>
    </w:p>
    <w:p w14:paraId="54FF690A" w14:textId="77777777" w:rsidR="008969DA" w:rsidRPr="00A20936" w:rsidRDefault="008969DA" w:rsidP="008969DA">
      <w:pPr>
        <w:pStyle w:val="FootnoteText"/>
        <w:ind w:firstLine="720"/>
        <w:rPr>
          <w:sz w:val="16"/>
          <w:szCs w:val="16"/>
        </w:rPr>
      </w:pPr>
      <w:r w:rsidRPr="00A20936">
        <w:rPr>
          <w:sz w:val="16"/>
          <w:szCs w:val="16"/>
        </w:rPr>
        <w:t>E(f) Creche, day nursery or day centre (not including a residential use)</w:t>
      </w:r>
    </w:p>
    <w:p w14:paraId="656D93F9" w14:textId="77777777" w:rsidR="008969DA" w:rsidRPr="00A20936" w:rsidRDefault="008969DA" w:rsidP="008969DA">
      <w:pPr>
        <w:pStyle w:val="FootnoteText"/>
        <w:ind w:firstLine="720"/>
        <w:rPr>
          <w:sz w:val="16"/>
          <w:szCs w:val="16"/>
        </w:rPr>
      </w:pPr>
      <w:r w:rsidRPr="00A20936">
        <w:rPr>
          <w:sz w:val="16"/>
          <w:szCs w:val="16"/>
        </w:rPr>
        <w:t>E(g) Uses which can be carried out in a residential area without detriment to its amenity:</w:t>
      </w:r>
    </w:p>
    <w:p w14:paraId="37D2B483" w14:textId="77777777" w:rsidR="008969DA" w:rsidRPr="00A20936" w:rsidRDefault="008969DA" w:rsidP="008969DA">
      <w:pPr>
        <w:pStyle w:val="FootnoteText"/>
        <w:ind w:left="720" w:firstLine="720"/>
        <w:rPr>
          <w:sz w:val="16"/>
          <w:szCs w:val="16"/>
        </w:rPr>
      </w:pPr>
      <w:r w:rsidRPr="00A20936">
        <w:rPr>
          <w:sz w:val="16"/>
          <w:szCs w:val="16"/>
        </w:rPr>
        <w:t>E(g)(</w:t>
      </w:r>
      <w:proofErr w:type="spellStart"/>
      <w:r w:rsidRPr="00A20936">
        <w:rPr>
          <w:sz w:val="16"/>
          <w:szCs w:val="16"/>
        </w:rPr>
        <w:t>i</w:t>
      </w:r>
      <w:proofErr w:type="spellEnd"/>
      <w:r w:rsidRPr="00A20936">
        <w:rPr>
          <w:sz w:val="16"/>
          <w:szCs w:val="16"/>
        </w:rPr>
        <w:t>) Offices to carry out any operational or administrative functions,</w:t>
      </w:r>
    </w:p>
    <w:p w14:paraId="2963E580" w14:textId="77777777" w:rsidR="008969DA" w:rsidRPr="00A20936" w:rsidRDefault="008969DA" w:rsidP="008969DA">
      <w:pPr>
        <w:pStyle w:val="FootnoteText"/>
        <w:ind w:firstLine="720"/>
        <w:rPr>
          <w:sz w:val="16"/>
          <w:szCs w:val="16"/>
        </w:rPr>
      </w:pPr>
      <w:r w:rsidRPr="00A20936">
        <w:rPr>
          <w:sz w:val="16"/>
          <w:szCs w:val="16"/>
        </w:rPr>
        <w:t>E(g)(ii) Research and development of products or processes</w:t>
      </w:r>
    </w:p>
    <w:p w14:paraId="25D6263C" w14:textId="78682627" w:rsidR="008969DA" w:rsidRDefault="008969DA" w:rsidP="008969DA">
      <w:pPr>
        <w:pStyle w:val="FootnoteText"/>
      </w:pPr>
      <w:r w:rsidRPr="00A20936">
        <w:rPr>
          <w:sz w:val="16"/>
          <w:szCs w:val="16"/>
        </w:rPr>
        <w:t>E(g)(iii) Industrial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3A73"/>
    <w:multiLevelType w:val="multilevel"/>
    <w:tmpl w:val="361C2F6C"/>
    <w:lvl w:ilvl="0">
      <w:start w:val="8"/>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5"/>
    <w:rsid w:val="0008385A"/>
    <w:rsid w:val="001744F3"/>
    <w:rsid w:val="00193E2F"/>
    <w:rsid w:val="002B4D24"/>
    <w:rsid w:val="002F2FC2"/>
    <w:rsid w:val="003135B6"/>
    <w:rsid w:val="003C2281"/>
    <w:rsid w:val="004061E3"/>
    <w:rsid w:val="00425C33"/>
    <w:rsid w:val="00434F18"/>
    <w:rsid w:val="00463139"/>
    <w:rsid w:val="00490A25"/>
    <w:rsid w:val="00522662"/>
    <w:rsid w:val="00583DBB"/>
    <w:rsid w:val="005945EB"/>
    <w:rsid w:val="005C73E0"/>
    <w:rsid w:val="005D0FFA"/>
    <w:rsid w:val="00783B70"/>
    <w:rsid w:val="007C0225"/>
    <w:rsid w:val="007D7AB5"/>
    <w:rsid w:val="00804640"/>
    <w:rsid w:val="0080583A"/>
    <w:rsid w:val="008077F9"/>
    <w:rsid w:val="00827705"/>
    <w:rsid w:val="008821D0"/>
    <w:rsid w:val="00890E87"/>
    <w:rsid w:val="008969DA"/>
    <w:rsid w:val="008A3287"/>
    <w:rsid w:val="008C22C7"/>
    <w:rsid w:val="008E4E81"/>
    <w:rsid w:val="008E552A"/>
    <w:rsid w:val="008F3E9C"/>
    <w:rsid w:val="00951C8E"/>
    <w:rsid w:val="009648B5"/>
    <w:rsid w:val="00A33031"/>
    <w:rsid w:val="00A841CF"/>
    <w:rsid w:val="00AA2DF7"/>
    <w:rsid w:val="00AB561C"/>
    <w:rsid w:val="00AF59C5"/>
    <w:rsid w:val="00B830EF"/>
    <w:rsid w:val="00C86AE5"/>
    <w:rsid w:val="00CC76BC"/>
    <w:rsid w:val="00D00CBD"/>
    <w:rsid w:val="00D14242"/>
    <w:rsid w:val="00D82981"/>
    <w:rsid w:val="00ED45D0"/>
    <w:rsid w:val="00EE6AF8"/>
    <w:rsid w:val="00F46A74"/>
    <w:rsid w:val="00FD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28E05"/>
  <w15:chartTrackingRefBased/>
  <w15:docId w15:val="{BF9BEFB2-FE40-49B2-B812-1503248C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81"/>
  </w:style>
  <w:style w:type="paragraph" w:styleId="Footer">
    <w:name w:val="footer"/>
    <w:basedOn w:val="Normal"/>
    <w:link w:val="FooterChar"/>
    <w:uiPriority w:val="99"/>
    <w:unhideWhenUsed/>
    <w:rsid w:val="008E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81"/>
  </w:style>
  <w:style w:type="table" w:styleId="TableGrid">
    <w:name w:val="Table Grid"/>
    <w:basedOn w:val="TableNormal"/>
    <w:uiPriority w:val="39"/>
    <w:rsid w:val="008E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0E87"/>
    <w:rPr>
      <w:color w:val="0563C1"/>
      <w:u w:val="single"/>
    </w:rPr>
  </w:style>
  <w:style w:type="character" w:styleId="UnresolvedMention">
    <w:name w:val="Unresolved Mention"/>
    <w:basedOn w:val="DefaultParagraphFont"/>
    <w:uiPriority w:val="99"/>
    <w:semiHidden/>
    <w:unhideWhenUsed/>
    <w:rsid w:val="008821D0"/>
    <w:rPr>
      <w:color w:val="605E5C"/>
      <w:shd w:val="clear" w:color="auto" w:fill="E1DFDD"/>
    </w:rPr>
  </w:style>
  <w:style w:type="paragraph" w:styleId="FootnoteText">
    <w:name w:val="footnote text"/>
    <w:basedOn w:val="Normal"/>
    <w:link w:val="FootnoteTextChar"/>
    <w:unhideWhenUsed/>
    <w:rsid w:val="008969DA"/>
    <w:pPr>
      <w:spacing w:after="0" w:line="240" w:lineRule="auto"/>
    </w:pPr>
    <w:rPr>
      <w:sz w:val="20"/>
      <w:szCs w:val="20"/>
    </w:rPr>
  </w:style>
  <w:style w:type="character" w:customStyle="1" w:styleId="FootnoteTextChar">
    <w:name w:val="Footnote Text Char"/>
    <w:basedOn w:val="DefaultParagraphFont"/>
    <w:link w:val="FootnoteText"/>
    <w:rsid w:val="008969DA"/>
    <w:rPr>
      <w:sz w:val="20"/>
      <w:szCs w:val="20"/>
    </w:rPr>
  </w:style>
  <w:style w:type="character" w:styleId="FootnoteReference">
    <w:name w:val="footnote reference"/>
    <w:basedOn w:val="DefaultParagraphFont"/>
    <w:uiPriority w:val="99"/>
    <w:semiHidden/>
    <w:unhideWhenUsed/>
    <w:rsid w:val="008969DA"/>
    <w:rPr>
      <w:vertAlign w:val="superscript"/>
    </w:rPr>
  </w:style>
  <w:style w:type="paragraph" w:styleId="CommentText">
    <w:name w:val="annotation text"/>
    <w:basedOn w:val="Normal"/>
    <w:link w:val="CommentTextChar"/>
    <w:uiPriority w:val="99"/>
    <w:semiHidden/>
    <w:unhideWhenUsed/>
    <w:rsid w:val="008969DA"/>
    <w:pPr>
      <w:spacing w:line="240" w:lineRule="auto"/>
    </w:pPr>
    <w:rPr>
      <w:sz w:val="20"/>
      <w:szCs w:val="20"/>
    </w:rPr>
  </w:style>
  <w:style w:type="character" w:customStyle="1" w:styleId="CommentTextChar">
    <w:name w:val="Comment Text Char"/>
    <w:basedOn w:val="DefaultParagraphFont"/>
    <w:link w:val="CommentText"/>
    <w:uiPriority w:val="99"/>
    <w:semiHidden/>
    <w:rsid w:val="008969DA"/>
    <w:rPr>
      <w:sz w:val="20"/>
      <w:szCs w:val="20"/>
    </w:rPr>
  </w:style>
  <w:style w:type="paragraph" w:styleId="CommentSubject">
    <w:name w:val="annotation subject"/>
    <w:basedOn w:val="CommentText"/>
    <w:next w:val="CommentText"/>
    <w:link w:val="CommentSubjectChar"/>
    <w:semiHidden/>
    <w:rsid w:val="008969DA"/>
    <w:pPr>
      <w:spacing w:after="0"/>
    </w:pPr>
    <w:rPr>
      <w:rFonts w:eastAsia="Times New Roman" w:cs="Times New Roman"/>
      <w:b/>
      <w:bCs/>
      <w:lang w:eastAsia="en-GB"/>
    </w:rPr>
  </w:style>
  <w:style w:type="character" w:customStyle="1" w:styleId="CommentSubjectChar">
    <w:name w:val="Comment Subject Char"/>
    <w:basedOn w:val="CommentTextChar"/>
    <w:link w:val="CommentSubject"/>
    <w:semiHidden/>
    <w:rsid w:val="008969DA"/>
    <w:rPr>
      <w:rFonts w:eastAsia="Times New Roman" w:cs="Times New Roman"/>
      <w:b/>
      <w:bCs/>
      <w:sz w:val="20"/>
      <w:szCs w:val="20"/>
      <w:lang w:eastAsia="en-GB"/>
    </w:rPr>
  </w:style>
  <w:style w:type="paragraph" w:styleId="ListParagraph">
    <w:name w:val="List Paragraph"/>
    <w:basedOn w:val="Normal"/>
    <w:link w:val="ListParagraphChar"/>
    <w:uiPriority w:val="34"/>
    <w:qFormat/>
    <w:rsid w:val="00434F18"/>
    <w:pPr>
      <w:spacing w:after="0" w:line="240" w:lineRule="auto"/>
      <w:ind w:left="720"/>
      <w:contextualSpacing/>
    </w:pPr>
    <w:rPr>
      <w:rFonts w:eastAsia="Times New Roman" w:cs="Times New Roman"/>
      <w:szCs w:val="20"/>
      <w:lang w:eastAsia="en-GB"/>
    </w:rPr>
  </w:style>
  <w:style w:type="character" w:customStyle="1" w:styleId="ListParagraphChar">
    <w:name w:val="List Paragraph Char"/>
    <w:link w:val="ListParagraph"/>
    <w:uiPriority w:val="34"/>
    <w:locked/>
    <w:rsid w:val="00434F18"/>
    <w:rPr>
      <w:rFonts w:eastAsia="Times New Roman" w:cs="Times New Roman"/>
      <w:szCs w:val="20"/>
      <w:lang w:eastAsia="en-GB"/>
    </w:rPr>
  </w:style>
  <w:style w:type="character" w:styleId="CommentReference">
    <w:name w:val="annotation reference"/>
    <w:basedOn w:val="DefaultParagraphFont"/>
    <w:uiPriority w:val="99"/>
    <w:semiHidden/>
    <w:unhideWhenUsed/>
    <w:rsid w:val="00D829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4454">
      <w:bodyDiv w:val="1"/>
      <w:marLeft w:val="0"/>
      <w:marRight w:val="0"/>
      <w:marTop w:val="0"/>
      <w:marBottom w:val="0"/>
      <w:divBdr>
        <w:top w:val="none" w:sz="0" w:space="0" w:color="auto"/>
        <w:left w:val="none" w:sz="0" w:space="0" w:color="auto"/>
        <w:bottom w:val="none" w:sz="0" w:space="0" w:color="auto"/>
        <w:right w:val="none" w:sz="0" w:space="0" w:color="auto"/>
      </w:divBdr>
    </w:div>
    <w:div w:id="5383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th-herts.gov.uk/article-4-directions-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F4608-A100-4331-8C06-7C156ADA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Hawkins</dc:creator>
  <cp:keywords/>
  <dc:description/>
  <cp:lastModifiedBy>Hollie Hawkins</cp:lastModifiedBy>
  <cp:revision>2</cp:revision>
  <cp:lastPrinted>2021-10-07T08:56:00Z</cp:lastPrinted>
  <dcterms:created xsi:type="dcterms:W3CDTF">2022-09-29T12:09:00Z</dcterms:created>
  <dcterms:modified xsi:type="dcterms:W3CDTF">2022-09-29T12:09:00Z</dcterms:modified>
</cp:coreProperties>
</file>